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D49" w:rsidRDefault="00942D49">
      <w:pPr>
        <w:spacing w:line="400" w:lineRule="exact"/>
        <w:jc w:val="center"/>
        <w:rPr>
          <w:rFonts w:ascii="楷体_GB2312" w:eastAsia="楷体_GB2312" w:hint="eastAsia"/>
          <w:b/>
          <w:sz w:val="28"/>
          <w:szCs w:val="28"/>
        </w:rPr>
      </w:pPr>
    </w:p>
    <w:p w:rsidR="00942D49" w:rsidRPr="004B6A4E" w:rsidRDefault="00942D49">
      <w:pPr>
        <w:spacing w:line="400" w:lineRule="exact"/>
        <w:jc w:val="center"/>
        <w:rPr>
          <w:rFonts w:ascii="楷体_GB2312" w:eastAsia="楷体_GB2312" w:hint="eastAsia"/>
          <w:b/>
          <w:sz w:val="28"/>
          <w:szCs w:val="28"/>
        </w:rPr>
      </w:pPr>
      <w:r w:rsidRPr="004B6A4E">
        <w:rPr>
          <w:rFonts w:eastAsia="楷体_GB2312"/>
          <w:b/>
          <w:sz w:val="28"/>
          <w:szCs w:val="28"/>
        </w:rPr>
        <w:t>202</w:t>
      </w:r>
      <w:r w:rsidR="00427984" w:rsidRPr="004B6A4E">
        <w:rPr>
          <w:rFonts w:eastAsia="楷体_GB2312" w:hint="eastAsia"/>
          <w:b/>
          <w:sz w:val="28"/>
          <w:szCs w:val="28"/>
        </w:rPr>
        <w:t>5</w:t>
      </w:r>
      <w:r w:rsidRPr="004B6A4E">
        <w:rPr>
          <w:rFonts w:ascii="楷体_GB2312" w:eastAsia="楷体_GB2312" w:hint="eastAsia"/>
          <w:b/>
          <w:sz w:val="28"/>
          <w:szCs w:val="28"/>
        </w:rPr>
        <w:t>年南通大学硕士研究生入学考试复习大纲</w:t>
      </w:r>
      <w:r w:rsidR="00684C7A" w:rsidRPr="004B6A4E">
        <w:rPr>
          <w:rFonts w:ascii="楷体_GB2312" w:eastAsia="楷体_GB2312" w:hint="eastAsia"/>
          <w:b/>
          <w:sz w:val="28"/>
          <w:szCs w:val="28"/>
        </w:rPr>
        <w:t xml:space="preserve"> </w:t>
      </w:r>
    </w:p>
    <w:p w:rsidR="00942D49" w:rsidRPr="004B6A4E" w:rsidRDefault="00942D49">
      <w:pPr>
        <w:spacing w:beforeLines="50" w:before="156" w:line="400" w:lineRule="exact"/>
        <w:rPr>
          <w:rFonts w:ascii="楷体_GB2312" w:eastAsia="楷体_GB2312" w:hint="eastAsia"/>
          <w:b/>
          <w:sz w:val="28"/>
          <w:szCs w:val="28"/>
        </w:rPr>
      </w:pPr>
      <w:r w:rsidRPr="004B6A4E">
        <w:rPr>
          <w:rFonts w:ascii="楷体_GB2312" w:eastAsia="楷体_GB2312" w:hint="eastAsia"/>
          <w:b/>
          <w:sz w:val="28"/>
          <w:szCs w:val="28"/>
        </w:rPr>
        <w:t xml:space="preserve">培养单位:  </w:t>
      </w:r>
      <w:r w:rsidR="00427984" w:rsidRPr="004B6A4E">
        <w:rPr>
          <w:rFonts w:ascii="楷体_GB2312" w:eastAsia="楷体_GB2312" w:hint="eastAsia"/>
          <w:b/>
          <w:sz w:val="28"/>
          <w:szCs w:val="28"/>
        </w:rPr>
        <w:t>数学与统计</w:t>
      </w:r>
      <w:r w:rsidRPr="004B6A4E">
        <w:rPr>
          <w:rFonts w:ascii="楷体_GB2312" w:eastAsia="楷体_GB2312" w:hint="eastAsia"/>
          <w:b/>
          <w:sz w:val="28"/>
          <w:szCs w:val="28"/>
        </w:rPr>
        <w:t xml:space="preserve">学院                     </w:t>
      </w:r>
      <w:r w:rsidR="00427984" w:rsidRPr="004B6A4E">
        <w:rPr>
          <w:rFonts w:hint="eastAsia"/>
          <w:b/>
          <w:sz w:val="28"/>
          <w:szCs w:val="28"/>
        </w:rPr>
        <w:t xml:space="preserve"> </w:t>
      </w:r>
      <w:r w:rsidRPr="004B6A4E">
        <w:rPr>
          <w:rFonts w:hint="eastAsia"/>
          <w:b/>
          <w:sz w:val="28"/>
          <w:szCs w:val="28"/>
        </w:rPr>
        <w:t>20</w:t>
      </w:r>
      <w:r w:rsidR="00135A38" w:rsidRPr="004B6A4E">
        <w:rPr>
          <w:rFonts w:hint="eastAsia"/>
          <w:b/>
          <w:sz w:val="28"/>
          <w:szCs w:val="28"/>
        </w:rPr>
        <w:t>2</w:t>
      </w:r>
      <w:r w:rsidR="00427984" w:rsidRPr="004B6A4E">
        <w:rPr>
          <w:rFonts w:hint="eastAsia"/>
          <w:b/>
          <w:sz w:val="28"/>
          <w:szCs w:val="28"/>
        </w:rPr>
        <w:t>4</w:t>
      </w:r>
      <w:r w:rsidRPr="004B6A4E">
        <w:rPr>
          <w:rFonts w:hint="eastAsia"/>
          <w:b/>
          <w:sz w:val="28"/>
          <w:szCs w:val="28"/>
        </w:rPr>
        <w:t>年</w:t>
      </w:r>
      <w:r w:rsidRPr="004B6A4E">
        <w:rPr>
          <w:rFonts w:hint="eastAsia"/>
          <w:b/>
          <w:sz w:val="28"/>
          <w:szCs w:val="28"/>
        </w:rPr>
        <w:t xml:space="preserve"> </w:t>
      </w:r>
      <w:r w:rsidR="00427984" w:rsidRPr="004B6A4E">
        <w:rPr>
          <w:rFonts w:hint="eastAsia"/>
          <w:b/>
          <w:sz w:val="28"/>
          <w:szCs w:val="28"/>
        </w:rPr>
        <w:t>5</w:t>
      </w:r>
      <w:r w:rsidRPr="004B6A4E">
        <w:rPr>
          <w:rFonts w:hint="eastAsia"/>
          <w:b/>
          <w:sz w:val="28"/>
          <w:szCs w:val="28"/>
        </w:rPr>
        <w:t>月</w:t>
      </w:r>
    </w:p>
    <w:tbl>
      <w:tblPr>
        <w:tblW w:w="9180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080"/>
        <w:gridCol w:w="1440"/>
        <w:gridCol w:w="1800"/>
        <w:gridCol w:w="1620"/>
        <w:gridCol w:w="900"/>
        <w:gridCol w:w="1080"/>
      </w:tblGrid>
      <w:tr w:rsidR="00942D49" w:rsidRPr="004B6A4E" w:rsidTr="00901D43">
        <w:trPr>
          <w:trHeight w:val="420"/>
          <w:jc w:val="center"/>
        </w:trPr>
        <w:tc>
          <w:tcPr>
            <w:tcW w:w="1260" w:type="dxa"/>
            <w:vAlign w:val="center"/>
          </w:tcPr>
          <w:p w:rsidR="00942D49" w:rsidRPr="004B6A4E" w:rsidRDefault="00942D49">
            <w:pPr>
              <w:jc w:val="center"/>
              <w:rPr>
                <w:rFonts w:hint="eastAsia"/>
                <w:b/>
              </w:rPr>
            </w:pPr>
            <w:r w:rsidRPr="004B6A4E">
              <w:rPr>
                <w:rFonts w:hint="eastAsia"/>
                <w:b/>
              </w:rPr>
              <w:t>科目名称</w:t>
            </w:r>
          </w:p>
        </w:tc>
        <w:tc>
          <w:tcPr>
            <w:tcW w:w="4320" w:type="dxa"/>
            <w:gridSpan w:val="3"/>
            <w:vAlign w:val="center"/>
          </w:tcPr>
          <w:p w:rsidR="00942D49" w:rsidRPr="004B6A4E" w:rsidRDefault="00BA157F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统计学</w:t>
            </w:r>
          </w:p>
        </w:tc>
        <w:tc>
          <w:tcPr>
            <w:tcW w:w="1620" w:type="dxa"/>
            <w:vAlign w:val="center"/>
          </w:tcPr>
          <w:p w:rsidR="00942D49" w:rsidRPr="004B6A4E" w:rsidRDefault="00942D49">
            <w:pPr>
              <w:jc w:val="center"/>
              <w:rPr>
                <w:rFonts w:hint="eastAsia"/>
                <w:b/>
              </w:rPr>
            </w:pPr>
            <w:r w:rsidRPr="004B6A4E">
              <w:rPr>
                <w:rFonts w:hint="eastAsia"/>
                <w:b/>
              </w:rPr>
              <w:t>科目代码</w:t>
            </w:r>
          </w:p>
        </w:tc>
        <w:tc>
          <w:tcPr>
            <w:tcW w:w="1980" w:type="dxa"/>
            <w:gridSpan w:val="2"/>
            <w:vAlign w:val="center"/>
          </w:tcPr>
          <w:p w:rsidR="00942D49" w:rsidRPr="004B6A4E" w:rsidRDefault="00BA157F">
            <w:pPr>
              <w:jc w:val="center"/>
              <w:rPr>
                <w:rFonts w:hint="eastAsia"/>
                <w:b/>
              </w:rPr>
            </w:pPr>
            <w:r>
              <w:rPr>
                <w:b/>
              </w:rPr>
              <w:t>432</w:t>
            </w:r>
          </w:p>
        </w:tc>
      </w:tr>
      <w:tr w:rsidR="00942D49" w:rsidRPr="004B6A4E" w:rsidTr="00901D43">
        <w:trPr>
          <w:trHeight w:val="391"/>
          <w:jc w:val="center"/>
        </w:trPr>
        <w:tc>
          <w:tcPr>
            <w:tcW w:w="9180" w:type="dxa"/>
            <w:gridSpan w:val="7"/>
            <w:vAlign w:val="center"/>
          </w:tcPr>
          <w:p w:rsidR="00942D49" w:rsidRPr="004B6A4E" w:rsidRDefault="00942D49">
            <w:pPr>
              <w:jc w:val="center"/>
              <w:rPr>
                <w:rFonts w:hint="eastAsia"/>
                <w:b/>
              </w:rPr>
            </w:pPr>
            <w:r w:rsidRPr="004B6A4E">
              <w:rPr>
                <w:rFonts w:hint="eastAsia"/>
                <w:b/>
              </w:rPr>
              <w:t>考试范围及要点</w:t>
            </w:r>
          </w:p>
        </w:tc>
      </w:tr>
      <w:tr w:rsidR="00942D49" w:rsidTr="00901D43">
        <w:trPr>
          <w:trHeight w:val="6215"/>
          <w:jc w:val="center"/>
        </w:trPr>
        <w:tc>
          <w:tcPr>
            <w:tcW w:w="9180" w:type="dxa"/>
            <w:gridSpan w:val="7"/>
          </w:tcPr>
          <w:p w:rsidR="00942D49" w:rsidRPr="00D444B4" w:rsidRDefault="00942D49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本考试大纲适用于报考南通大学</w:t>
            </w:r>
            <w:r w:rsidR="00427984" w:rsidRPr="00D444B4">
              <w:rPr>
                <w:rFonts w:eastAsia="宋体-WinCharSetFFFF-H"/>
                <w:kern w:val="0"/>
                <w:szCs w:val="21"/>
              </w:rPr>
              <w:t>数学与统计</w:t>
            </w:r>
            <w:r w:rsidRPr="00D444B4">
              <w:rPr>
                <w:rFonts w:eastAsia="宋体-WinCharSetFFFF-H"/>
                <w:kern w:val="0"/>
                <w:szCs w:val="21"/>
              </w:rPr>
              <w:t>学院</w:t>
            </w:r>
            <w:r w:rsidR="00BA157F" w:rsidRPr="00D444B4">
              <w:rPr>
                <w:rFonts w:eastAsia="宋体-WinCharSetFFFF-H"/>
                <w:kern w:val="0"/>
                <w:szCs w:val="21"/>
              </w:rPr>
              <w:t>应用统计</w:t>
            </w:r>
            <w:r w:rsidRPr="00D444B4">
              <w:rPr>
                <w:rFonts w:eastAsia="宋体-WinCharSetFFFF-H"/>
                <w:kern w:val="0"/>
                <w:szCs w:val="21"/>
              </w:rPr>
              <w:t>专业硕士的考生。本科目要求学生比较系统的理解</w:t>
            </w:r>
            <w:r w:rsidR="00BA157F" w:rsidRPr="00D444B4">
              <w:rPr>
                <w:rFonts w:eastAsia="宋体-WinCharSetFFFF-H"/>
                <w:kern w:val="0"/>
                <w:szCs w:val="21"/>
              </w:rPr>
              <w:t>概率论和数理统计</w:t>
            </w:r>
            <w:r w:rsidRPr="00D444B4">
              <w:rPr>
                <w:rFonts w:eastAsia="宋体-WinCharSetFFFF-H"/>
                <w:kern w:val="0"/>
                <w:szCs w:val="21"/>
              </w:rPr>
              <w:t>的基本概念，掌握</w:t>
            </w:r>
            <w:r w:rsidR="00BA157F" w:rsidRPr="00D444B4">
              <w:rPr>
                <w:rFonts w:eastAsia="宋体-WinCharSetFFFF-H"/>
                <w:kern w:val="0"/>
                <w:szCs w:val="21"/>
              </w:rPr>
              <w:t>统计学</w:t>
            </w:r>
            <w:r w:rsidRPr="00D444B4">
              <w:rPr>
                <w:rFonts w:eastAsia="宋体-WinCharSetFFFF-H"/>
                <w:kern w:val="0"/>
                <w:szCs w:val="21"/>
              </w:rPr>
              <w:t>基本思想</w:t>
            </w:r>
            <w:r w:rsidR="00BA157F" w:rsidRPr="00D444B4">
              <w:rPr>
                <w:rFonts w:eastAsia="宋体-WinCharSetFFFF-H"/>
                <w:kern w:val="0"/>
                <w:szCs w:val="21"/>
              </w:rPr>
              <w:t>、原理</w:t>
            </w:r>
            <w:r w:rsidRPr="00D444B4">
              <w:rPr>
                <w:rFonts w:eastAsia="宋体-WinCharSetFFFF-H"/>
                <w:kern w:val="0"/>
                <w:szCs w:val="21"/>
              </w:rPr>
              <w:t>和方法，具有一定的</w:t>
            </w:r>
            <w:r w:rsidR="00BA157F" w:rsidRPr="00D444B4">
              <w:rPr>
                <w:rFonts w:eastAsia="宋体-WinCharSetFFFF-H"/>
                <w:kern w:val="0"/>
                <w:szCs w:val="21"/>
              </w:rPr>
              <w:t>统计学</w:t>
            </w:r>
            <w:r w:rsidRPr="00D444B4">
              <w:rPr>
                <w:rFonts w:eastAsia="宋体-WinCharSetFFFF-H"/>
                <w:kern w:val="0"/>
                <w:szCs w:val="21"/>
              </w:rPr>
              <w:t>方法</w:t>
            </w:r>
            <w:r w:rsidR="00BA157F" w:rsidRPr="00D444B4">
              <w:rPr>
                <w:rFonts w:eastAsia="宋体-WinCharSetFFFF-H"/>
                <w:kern w:val="0"/>
                <w:szCs w:val="21"/>
              </w:rPr>
              <w:t>基础并能应用统计相关方法解决数据分析</w:t>
            </w:r>
            <w:r w:rsidRPr="00D444B4">
              <w:rPr>
                <w:rFonts w:eastAsia="宋体-WinCharSetFFFF-H"/>
                <w:kern w:val="0"/>
                <w:szCs w:val="21"/>
              </w:rPr>
              <w:t>问题</w:t>
            </w:r>
            <w:r w:rsidR="00BA157F" w:rsidRPr="00D444B4">
              <w:rPr>
                <w:rFonts w:eastAsia="宋体-WinCharSetFFFF-H"/>
                <w:kern w:val="0"/>
                <w:szCs w:val="21"/>
              </w:rPr>
              <w:t>，为进一步</w:t>
            </w:r>
            <w:r w:rsidRPr="00D444B4">
              <w:rPr>
                <w:rFonts w:eastAsia="宋体-WinCharSetFFFF-H"/>
                <w:kern w:val="0"/>
                <w:szCs w:val="21"/>
              </w:rPr>
              <w:t>学习与科研奠定</w:t>
            </w:r>
            <w:r w:rsidR="00BA157F" w:rsidRPr="00D444B4">
              <w:rPr>
                <w:rFonts w:eastAsia="宋体-WinCharSetFFFF-H"/>
                <w:kern w:val="0"/>
                <w:szCs w:val="21"/>
              </w:rPr>
              <w:t>统计方法的</w:t>
            </w:r>
            <w:r w:rsidRPr="00D444B4">
              <w:rPr>
                <w:rFonts w:eastAsia="宋体-WinCharSetFFFF-H"/>
                <w:kern w:val="0"/>
                <w:szCs w:val="21"/>
              </w:rPr>
              <w:t>基础。</w:t>
            </w:r>
          </w:p>
          <w:p w:rsidR="00942D49" w:rsidRPr="00D444B4" w:rsidRDefault="00942D49" w:rsidP="00901D43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本科目的考试范围及要点：</w:t>
            </w:r>
            <w:r w:rsidR="00901D43" w:rsidRPr="00D444B4">
              <w:rPr>
                <w:rFonts w:eastAsia="宋体-WinCharSetFFFF-H"/>
                <w:kern w:val="0"/>
                <w:szCs w:val="21"/>
              </w:rPr>
              <w:t xml:space="preserve"> </w:t>
            </w:r>
          </w:p>
          <w:p w:rsidR="000D1512" w:rsidRPr="00D444B4" w:rsidRDefault="000D1512" w:rsidP="00901D43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 xml:space="preserve">  </w:t>
            </w:r>
            <w:r w:rsidRPr="00D444B4">
              <w:rPr>
                <w:rFonts w:eastAsia="宋体-WinCharSetFFFF-H"/>
                <w:kern w:val="0"/>
                <w:szCs w:val="21"/>
              </w:rPr>
              <w:t>一</w:t>
            </w:r>
            <w:r w:rsidR="00E2135E" w:rsidRPr="00D444B4">
              <w:rPr>
                <w:rFonts w:eastAsia="宋体-WinCharSetFFFF-H"/>
                <w:kern w:val="0"/>
                <w:szCs w:val="21"/>
              </w:rPr>
              <w:t>、</w:t>
            </w:r>
            <w:r w:rsidR="003E1EAA" w:rsidRPr="00D444B4">
              <w:rPr>
                <w:rFonts w:eastAsia="宋体-WinCharSetFFFF-H"/>
                <w:kern w:val="0"/>
                <w:szCs w:val="21"/>
              </w:rPr>
              <w:t>随机事件与概率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1</w:t>
            </w:r>
            <w:r w:rsidRPr="00D444B4">
              <w:rPr>
                <w:rFonts w:eastAsia="宋体-WinCharSetFFFF-H"/>
                <w:kern w:val="0"/>
                <w:szCs w:val="21"/>
              </w:rPr>
              <w:t>、掌握</w:t>
            </w:r>
            <w:r w:rsidRPr="00D444B4">
              <w:rPr>
                <w:rFonts w:eastAsia="宋体-WinCharSetFFFF-H"/>
                <w:kern w:val="0"/>
                <w:szCs w:val="21"/>
              </w:rPr>
              <w:t>概率的</w:t>
            </w:r>
            <w:r w:rsidRPr="00D444B4">
              <w:rPr>
                <w:rFonts w:eastAsia="宋体-WinCharSetFFFF-H"/>
                <w:kern w:val="0"/>
                <w:szCs w:val="21"/>
              </w:rPr>
              <w:t>三种</w:t>
            </w:r>
            <w:r w:rsidRPr="00D444B4">
              <w:rPr>
                <w:rFonts w:eastAsia="宋体-WinCharSetFFFF-H"/>
                <w:kern w:val="0"/>
                <w:szCs w:val="21"/>
              </w:rPr>
              <w:t>定义</w:t>
            </w:r>
            <w:r w:rsidRPr="00D444B4">
              <w:rPr>
                <w:rFonts w:eastAsia="宋体-WinCharSetFFFF-H"/>
                <w:kern w:val="0"/>
                <w:szCs w:val="21"/>
              </w:rPr>
              <w:t>（古典概率、几何概率、概率的公理化）</w:t>
            </w:r>
            <w:r w:rsidRPr="00D444B4">
              <w:rPr>
                <w:rFonts w:eastAsia="宋体-WinCharSetFFFF-H"/>
                <w:kern w:val="0"/>
                <w:szCs w:val="21"/>
              </w:rPr>
              <w:t>及其确定方法</w:t>
            </w:r>
            <w:r w:rsidRPr="00D444B4">
              <w:rPr>
                <w:rFonts w:eastAsia="宋体-WinCharSetFFFF-H"/>
                <w:kern w:val="0"/>
                <w:szCs w:val="21"/>
              </w:rPr>
              <w:t>、概率的性质；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2</w:t>
            </w:r>
            <w:r w:rsidRPr="00D444B4">
              <w:rPr>
                <w:rFonts w:eastAsia="宋体-WinCharSetFFFF-H"/>
                <w:kern w:val="0"/>
                <w:szCs w:val="21"/>
              </w:rPr>
              <w:t>、熟悉</w:t>
            </w:r>
            <w:r w:rsidRPr="00D444B4">
              <w:rPr>
                <w:rFonts w:eastAsia="宋体-WinCharSetFFFF-H"/>
                <w:kern w:val="0"/>
                <w:szCs w:val="21"/>
              </w:rPr>
              <w:t>条件概率</w:t>
            </w:r>
            <w:r w:rsidRPr="00D444B4">
              <w:rPr>
                <w:rFonts w:eastAsia="宋体-WinCharSetFFFF-H"/>
                <w:kern w:val="0"/>
                <w:szCs w:val="21"/>
              </w:rPr>
              <w:t>，掌握乘法公式、全概率公式、贝叶斯公式，能利用三大公式解决问题；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3</w:t>
            </w:r>
            <w:r w:rsidRPr="00D444B4">
              <w:rPr>
                <w:rFonts w:eastAsia="宋体-WinCharSetFFFF-H"/>
                <w:kern w:val="0"/>
                <w:szCs w:val="21"/>
              </w:rPr>
              <w:t>、掌握事件的</w:t>
            </w:r>
            <w:r w:rsidRPr="00D444B4">
              <w:rPr>
                <w:rFonts w:eastAsia="宋体-WinCharSetFFFF-H"/>
                <w:kern w:val="0"/>
                <w:szCs w:val="21"/>
              </w:rPr>
              <w:t>独立性</w:t>
            </w:r>
            <w:r w:rsidRPr="00D444B4">
              <w:rPr>
                <w:rFonts w:eastAsia="宋体-WinCharSetFFFF-H"/>
                <w:kern w:val="0"/>
                <w:szCs w:val="21"/>
              </w:rPr>
              <w:t>及其相关性质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二、随机变量及其分布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1</w:t>
            </w:r>
            <w:r w:rsidRPr="00D444B4">
              <w:rPr>
                <w:rFonts w:eastAsia="宋体-WinCharSetFFFF-H"/>
                <w:kern w:val="0"/>
                <w:szCs w:val="21"/>
              </w:rPr>
              <w:t>、掌握一维随机变量的分布函数及其性质、离散型随机变量的分布列、连续型随机变量的密度函数及其性质；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2</w:t>
            </w:r>
            <w:r w:rsidRPr="00D444B4">
              <w:rPr>
                <w:rFonts w:eastAsia="宋体-WinCharSetFFFF-H"/>
                <w:kern w:val="0"/>
                <w:szCs w:val="21"/>
              </w:rPr>
              <w:t>、熟练计算随机变量的期望和方差，并掌握他们的性质；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3</w:t>
            </w:r>
            <w:r w:rsidRPr="00D444B4">
              <w:rPr>
                <w:rFonts w:eastAsia="宋体-WinCharSetFFFF-H"/>
                <w:kern w:val="0"/>
                <w:szCs w:val="21"/>
              </w:rPr>
              <w:t>、熟悉常见的分布及其性质，如二项分布、泊松分布、几何分布、负二项分布、均匀分布、指数分布、正态分布、</w:t>
            </w:r>
            <w:r w:rsidRPr="00D444B4">
              <w:rPr>
                <w:rFonts w:eastAsia="宋体-WinCharSetFFFF-H"/>
                <w:kern w:val="0"/>
                <w:szCs w:val="21"/>
              </w:rPr>
              <w:t>Gamma</w:t>
            </w:r>
            <w:r w:rsidRPr="00D444B4">
              <w:rPr>
                <w:rFonts w:eastAsia="宋体-WinCharSetFFFF-H"/>
                <w:kern w:val="0"/>
                <w:szCs w:val="21"/>
              </w:rPr>
              <w:t>分布、</w:t>
            </w:r>
            <w:r w:rsidRPr="00D444B4">
              <w:rPr>
                <w:rFonts w:eastAsia="宋体-WinCharSetFFFF-H"/>
                <w:kern w:val="0"/>
                <w:szCs w:val="21"/>
              </w:rPr>
              <w:t>Beta</w:t>
            </w:r>
            <w:r w:rsidRPr="00D444B4">
              <w:rPr>
                <w:rFonts w:eastAsia="宋体-WinCharSetFFFF-H"/>
                <w:kern w:val="0"/>
                <w:szCs w:val="21"/>
              </w:rPr>
              <w:t>分布；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4</w:t>
            </w:r>
            <w:r w:rsidRPr="00D444B4">
              <w:rPr>
                <w:rFonts w:eastAsia="宋体-WinCharSetFFFF-H"/>
                <w:kern w:val="0"/>
                <w:szCs w:val="21"/>
              </w:rPr>
              <w:t>、理解随机变量函数的分布并熟练求解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三、多维随机变量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1</w:t>
            </w:r>
            <w:r w:rsidRPr="00D444B4">
              <w:rPr>
                <w:rFonts w:eastAsia="宋体-WinCharSetFFFF-H"/>
                <w:kern w:val="0"/>
                <w:szCs w:val="21"/>
              </w:rPr>
              <w:t>、掌握二维随机变量的联合分布函数、联合分布列、联合密度函数及其性质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2</w:t>
            </w:r>
            <w:r w:rsidRPr="00D444B4">
              <w:rPr>
                <w:rFonts w:eastAsia="宋体-WinCharSetFFFF-H"/>
                <w:kern w:val="0"/>
                <w:szCs w:val="21"/>
              </w:rPr>
              <w:t>、熟悉联合分布、边际分布、条件分布之间的关系，掌握随机变量之间独立性判断；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3</w:t>
            </w:r>
            <w:r w:rsidRPr="00D444B4">
              <w:rPr>
                <w:rFonts w:eastAsia="宋体-WinCharSetFFFF-H"/>
                <w:kern w:val="0"/>
                <w:szCs w:val="21"/>
              </w:rPr>
              <w:t>、掌握二维随机变量的数字特征及其性质，特别是协方差和相关系数；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4</w:t>
            </w:r>
            <w:r w:rsidRPr="00D444B4">
              <w:rPr>
                <w:rFonts w:eastAsia="宋体-WinCharSetFFFF-H"/>
                <w:kern w:val="0"/>
                <w:szCs w:val="21"/>
              </w:rPr>
              <w:t>、熟悉二维随机变量函数的分布，重点掌握两个随机变量和的分布和使用变量变换法求解函数的分布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5</w:t>
            </w:r>
            <w:r w:rsidRPr="00D444B4">
              <w:rPr>
                <w:rFonts w:eastAsia="宋体-WinCharSetFFFF-H"/>
                <w:kern w:val="0"/>
                <w:szCs w:val="21"/>
              </w:rPr>
              <w:t>、了解常见的多维分布，如多元正态、多元均匀、多项分布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四、大数定律与中心极限定理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1</w:t>
            </w:r>
            <w:r w:rsidRPr="00D444B4">
              <w:rPr>
                <w:rFonts w:eastAsia="宋体-WinCharSetFFFF-H"/>
                <w:kern w:val="0"/>
                <w:szCs w:val="21"/>
              </w:rPr>
              <w:t>、掌握特征函数及其相关性质，理解随机变量序列的依概率收敛、依分布收敛；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2</w:t>
            </w:r>
            <w:r w:rsidRPr="00D444B4">
              <w:rPr>
                <w:rFonts w:eastAsia="宋体-WinCharSetFFFF-H"/>
                <w:kern w:val="0"/>
                <w:szCs w:val="21"/>
              </w:rPr>
              <w:t>、熟悉三个大数定律和两个中心极限定理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五、数理统计基本概率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1</w:t>
            </w:r>
            <w:r w:rsidRPr="00D444B4">
              <w:rPr>
                <w:rFonts w:eastAsia="宋体-WinCharSetFFFF-H"/>
                <w:kern w:val="0"/>
                <w:szCs w:val="21"/>
              </w:rPr>
              <w:t>、了解总体、个体、样本等基本概念；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2</w:t>
            </w:r>
            <w:r w:rsidRPr="00D444B4">
              <w:rPr>
                <w:rFonts w:eastAsia="宋体-WinCharSetFFFF-H"/>
                <w:kern w:val="0"/>
                <w:szCs w:val="21"/>
              </w:rPr>
              <w:t>、掌握统计量的定义和常见的统计量及其性质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lastRenderedPageBreak/>
              <w:t>3</w:t>
            </w:r>
            <w:r w:rsidRPr="00D444B4">
              <w:rPr>
                <w:rFonts w:eastAsia="宋体-WinCharSetFFFF-H"/>
                <w:kern w:val="0"/>
                <w:szCs w:val="21"/>
              </w:rPr>
              <w:t>、掌握三大抽样分布和三大抽样分布定理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4</w:t>
            </w:r>
            <w:r w:rsidRPr="00D444B4">
              <w:rPr>
                <w:rFonts w:eastAsia="宋体-WinCharSetFFFF-H"/>
                <w:kern w:val="0"/>
                <w:szCs w:val="21"/>
              </w:rPr>
              <w:t>、了解充分统计量的判断方法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六、参数估计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1</w:t>
            </w:r>
            <w:r w:rsidRPr="00D444B4">
              <w:rPr>
                <w:rFonts w:eastAsia="宋体-WinCharSetFFFF-H"/>
                <w:kern w:val="0"/>
                <w:szCs w:val="21"/>
              </w:rPr>
              <w:t>、掌握矩估计和最大似然估计方法；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2</w:t>
            </w:r>
            <w:r w:rsidRPr="00D444B4">
              <w:rPr>
                <w:rFonts w:eastAsia="宋体-WinCharSetFFFF-H"/>
                <w:kern w:val="0"/>
                <w:szCs w:val="21"/>
              </w:rPr>
              <w:t>、熟悉评判估计量好坏的三个标准</w:t>
            </w:r>
            <w:r w:rsidRPr="00D444B4">
              <w:rPr>
                <w:rFonts w:eastAsia="宋体-WinCharSetFFFF-H"/>
                <w:kern w:val="0"/>
                <w:szCs w:val="21"/>
              </w:rPr>
              <w:t>(</w:t>
            </w:r>
            <w:r w:rsidRPr="00D444B4">
              <w:rPr>
                <w:rFonts w:eastAsia="宋体-WinCharSetFFFF-H"/>
                <w:kern w:val="0"/>
                <w:szCs w:val="21"/>
              </w:rPr>
              <w:t>无偏性、有效性、相合性</w:t>
            </w:r>
            <w:r w:rsidRPr="00D444B4">
              <w:rPr>
                <w:rFonts w:eastAsia="宋体-WinCharSetFFFF-H"/>
                <w:kern w:val="0"/>
                <w:szCs w:val="21"/>
              </w:rPr>
              <w:t>)</w:t>
            </w:r>
            <w:r w:rsidRPr="00D444B4">
              <w:rPr>
                <w:rFonts w:eastAsia="宋体-WinCharSetFFFF-H"/>
                <w:kern w:val="0"/>
                <w:szCs w:val="21"/>
              </w:rPr>
              <w:t>；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3</w:t>
            </w:r>
            <w:r w:rsidRPr="00D444B4">
              <w:rPr>
                <w:rFonts w:eastAsia="宋体-WinCharSetFFFF-H"/>
                <w:kern w:val="0"/>
                <w:szCs w:val="21"/>
              </w:rPr>
              <w:t>、熟练计算</w:t>
            </w:r>
            <w:r w:rsidRPr="00D444B4">
              <w:rPr>
                <w:rFonts w:eastAsia="宋体-WinCharSetFFFF-H"/>
                <w:kern w:val="0"/>
                <w:szCs w:val="21"/>
              </w:rPr>
              <w:t>Fisher</w:t>
            </w:r>
            <w:r w:rsidRPr="00D444B4">
              <w:rPr>
                <w:rFonts w:eastAsia="宋体-WinCharSetFFFF-H"/>
                <w:kern w:val="0"/>
                <w:szCs w:val="21"/>
              </w:rPr>
              <w:t>信息及其</w:t>
            </w:r>
            <w:r w:rsidRPr="00D444B4">
              <w:rPr>
                <w:rFonts w:eastAsia="宋体-WinCharSetFFFF-H"/>
                <w:kern w:val="0"/>
                <w:szCs w:val="21"/>
              </w:rPr>
              <w:t>C-R</w:t>
            </w:r>
            <w:r w:rsidRPr="00D444B4">
              <w:rPr>
                <w:rFonts w:eastAsia="宋体-WinCharSetFFFF-H"/>
                <w:kern w:val="0"/>
                <w:szCs w:val="21"/>
              </w:rPr>
              <w:t>不等式，了解一致最小方差无偏估计和有效估计的判断方法；</w:t>
            </w:r>
          </w:p>
          <w:p w:rsidR="003E1EAA" w:rsidRPr="00D444B4" w:rsidRDefault="003E1EAA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4</w:t>
            </w:r>
            <w:r w:rsidRPr="00D444B4">
              <w:rPr>
                <w:rFonts w:eastAsia="宋体-WinCharSetFFFF-H"/>
                <w:kern w:val="0"/>
                <w:szCs w:val="21"/>
              </w:rPr>
              <w:t>、掌握</w:t>
            </w:r>
            <w:r w:rsidR="00D444B4" w:rsidRPr="00D444B4">
              <w:rPr>
                <w:rFonts w:eastAsia="宋体-WinCharSetFFFF-H"/>
                <w:kern w:val="0"/>
                <w:szCs w:val="21"/>
              </w:rPr>
              <w:t>利用枢轴量方法构造置信区间，理解</w:t>
            </w:r>
            <w:r w:rsidRPr="00D444B4">
              <w:rPr>
                <w:rFonts w:eastAsia="宋体-WinCharSetFFFF-H"/>
                <w:kern w:val="0"/>
                <w:szCs w:val="21"/>
              </w:rPr>
              <w:t>单个和两个正态总体的均值和方差</w:t>
            </w:r>
            <w:r w:rsidR="00D444B4" w:rsidRPr="00D444B4">
              <w:rPr>
                <w:rFonts w:eastAsia="宋体-WinCharSetFFFF-H"/>
                <w:kern w:val="0"/>
                <w:szCs w:val="21"/>
              </w:rPr>
              <w:t>的置信区间构造方法；</w:t>
            </w:r>
          </w:p>
          <w:p w:rsidR="00D444B4" w:rsidRPr="00D444B4" w:rsidRDefault="00D444B4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七、假设检验</w:t>
            </w:r>
          </w:p>
          <w:p w:rsidR="00D444B4" w:rsidRPr="00D444B4" w:rsidRDefault="00D444B4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1</w:t>
            </w:r>
            <w:r w:rsidRPr="00D444B4">
              <w:rPr>
                <w:rFonts w:eastAsia="宋体-WinCharSetFFFF-H"/>
                <w:kern w:val="0"/>
                <w:szCs w:val="21"/>
              </w:rPr>
              <w:t>、理解假设检验中的两类错误，掌握功效函数及其与两类错误之间的关系，重点掌握显著性检验原理和方法；</w:t>
            </w:r>
            <w:bookmarkStart w:id="0" w:name="_GoBack"/>
            <w:bookmarkEnd w:id="0"/>
          </w:p>
          <w:p w:rsidR="00D444B4" w:rsidRPr="00D444B4" w:rsidRDefault="00D444B4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2</w:t>
            </w:r>
            <w:r w:rsidRPr="00D444B4">
              <w:rPr>
                <w:rFonts w:eastAsia="宋体-WinCharSetFFFF-H"/>
                <w:kern w:val="0"/>
                <w:szCs w:val="21"/>
              </w:rPr>
              <w:t>、掌握</w:t>
            </w:r>
            <w:r w:rsidRPr="00D444B4">
              <w:rPr>
                <w:rFonts w:eastAsia="宋体-WinCharSetFFFF-H"/>
                <w:kern w:val="0"/>
                <w:szCs w:val="21"/>
              </w:rPr>
              <w:t>单个和两个正态总体的均值和方差的</w:t>
            </w:r>
            <w:r w:rsidRPr="00D444B4">
              <w:rPr>
                <w:rFonts w:eastAsia="宋体-WinCharSetFFFF-H"/>
                <w:kern w:val="0"/>
                <w:szCs w:val="21"/>
              </w:rPr>
              <w:t>检验；</w:t>
            </w:r>
          </w:p>
          <w:p w:rsidR="00D444B4" w:rsidRPr="00D444B4" w:rsidRDefault="00D444B4" w:rsidP="003E1EAA">
            <w:pPr>
              <w:spacing w:line="440" w:lineRule="exact"/>
              <w:ind w:firstLineChars="204" w:firstLine="428"/>
              <w:rPr>
                <w:rFonts w:eastAsia="宋体-WinCharSetFFFF-H"/>
                <w:kern w:val="0"/>
                <w:szCs w:val="21"/>
              </w:rPr>
            </w:pPr>
            <w:r w:rsidRPr="00D444B4">
              <w:rPr>
                <w:rFonts w:eastAsia="宋体-WinCharSetFFFF-H"/>
                <w:kern w:val="0"/>
                <w:szCs w:val="21"/>
              </w:rPr>
              <w:t>3</w:t>
            </w:r>
            <w:r w:rsidRPr="00D444B4">
              <w:rPr>
                <w:rFonts w:eastAsia="宋体-WinCharSetFFFF-H"/>
                <w:kern w:val="0"/>
                <w:szCs w:val="21"/>
              </w:rPr>
              <w:t>、了解其他的参数检验方法和非参数检验方法</w:t>
            </w:r>
          </w:p>
          <w:p w:rsidR="000D1512" w:rsidRPr="00D444B4" w:rsidRDefault="000D1512" w:rsidP="00D444B4">
            <w:pPr>
              <w:ind w:firstLine="435"/>
              <w:rPr>
                <w:rFonts w:eastAsia="宋体-WinCharSetFFFF-H"/>
                <w:kern w:val="0"/>
                <w:szCs w:val="21"/>
              </w:rPr>
            </w:pPr>
          </w:p>
        </w:tc>
      </w:tr>
      <w:tr w:rsidR="00942D49" w:rsidTr="00901D43">
        <w:trPr>
          <w:trHeight w:val="381"/>
          <w:jc w:val="center"/>
        </w:trPr>
        <w:tc>
          <w:tcPr>
            <w:tcW w:w="9180" w:type="dxa"/>
            <w:gridSpan w:val="7"/>
            <w:vAlign w:val="center"/>
          </w:tcPr>
          <w:p w:rsidR="00942D49" w:rsidRDefault="00942D49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lastRenderedPageBreak/>
              <w:t>试题结构：</w:t>
            </w:r>
          </w:p>
        </w:tc>
      </w:tr>
      <w:tr w:rsidR="00942D49" w:rsidTr="00901D43">
        <w:trPr>
          <w:trHeight w:val="90"/>
          <w:jc w:val="center"/>
        </w:trPr>
        <w:tc>
          <w:tcPr>
            <w:tcW w:w="9180" w:type="dxa"/>
            <w:gridSpan w:val="7"/>
          </w:tcPr>
          <w:p w:rsidR="00684C7A" w:rsidRDefault="00942D49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试卷分值：</w:t>
            </w:r>
            <w:r>
              <w:rPr>
                <w:rFonts w:hint="eastAsia"/>
                <w:sz w:val="24"/>
              </w:rPr>
              <w:t>150</w:t>
            </w:r>
            <w:r>
              <w:rPr>
                <w:rFonts w:hint="eastAsia"/>
                <w:sz w:val="24"/>
              </w:rPr>
              <w:t>分，</w:t>
            </w:r>
          </w:p>
          <w:p w:rsidR="00684C7A" w:rsidRDefault="00684C7A" w:rsidP="00684C7A">
            <w:pPr>
              <w:numPr>
                <w:ilvl w:val="0"/>
                <w:numId w:val="1"/>
              </w:num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 w:rsidR="00901D43">
              <w:rPr>
                <w:rFonts w:hint="eastAsia"/>
                <w:sz w:val="24"/>
              </w:rPr>
              <w:t>计算</w:t>
            </w:r>
            <w:r w:rsidR="00942D49">
              <w:rPr>
                <w:rFonts w:hint="eastAsia"/>
                <w:sz w:val="24"/>
              </w:rPr>
              <w:t>题占</w:t>
            </w:r>
            <w:r w:rsidR="00901D43">
              <w:rPr>
                <w:sz w:val="24"/>
              </w:rPr>
              <w:t>10</w:t>
            </w:r>
            <w:r w:rsidR="00942D49">
              <w:rPr>
                <w:rFonts w:hint="eastAsia"/>
                <w:sz w:val="24"/>
              </w:rPr>
              <w:t>0</w:t>
            </w:r>
            <w:r w:rsidR="00942D49">
              <w:rPr>
                <w:rFonts w:hint="eastAsia"/>
                <w:sz w:val="24"/>
              </w:rPr>
              <w:t>分，</w:t>
            </w:r>
          </w:p>
          <w:p w:rsidR="00942D49" w:rsidRDefault="00684C7A" w:rsidP="00901D43">
            <w:pPr>
              <w:numPr>
                <w:ilvl w:val="0"/>
                <w:numId w:val="1"/>
              </w:num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 w:rsidR="00901D43">
              <w:rPr>
                <w:rFonts w:hint="eastAsia"/>
                <w:sz w:val="24"/>
              </w:rPr>
              <w:t>解答</w:t>
            </w:r>
            <w:r w:rsidR="00942D49">
              <w:rPr>
                <w:rFonts w:hint="eastAsia"/>
                <w:sz w:val="24"/>
              </w:rPr>
              <w:t>题占</w:t>
            </w:r>
            <w:r w:rsidR="00901D43">
              <w:rPr>
                <w:rFonts w:hint="eastAsia"/>
                <w:sz w:val="24"/>
              </w:rPr>
              <w:t>5</w:t>
            </w:r>
            <w:r w:rsidR="00942D49">
              <w:rPr>
                <w:rFonts w:hint="eastAsia"/>
                <w:sz w:val="24"/>
              </w:rPr>
              <w:t>0</w:t>
            </w:r>
            <w:r w:rsidR="00942D49">
              <w:rPr>
                <w:rFonts w:hint="eastAsia"/>
                <w:sz w:val="24"/>
              </w:rPr>
              <w:t>分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942D49" w:rsidTr="00901D43">
        <w:trPr>
          <w:trHeight w:val="345"/>
          <w:jc w:val="center"/>
        </w:trPr>
        <w:tc>
          <w:tcPr>
            <w:tcW w:w="2340" w:type="dxa"/>
            <w:gridSpan w:val="2"/>
            <w:vAlign w:val="center"/>
          </w:tcPr>
          <w:p w:rsidR="00942D49" w:rsidRDefault="00942D49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参考书目名称</w:t>
            </w:r>
          </w:p>
        </w:tc>
        <w:tc>
          <w:tcPr>
            <w:tcW w:w="1440" w:type="dxa"/>
            <w:vAlign w:val="center"/>
          </w:tcPr>
          <w:p w:rsidR="00942D49" w:rsidRDefault="00942D49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编者</w:t>
            </w:r>
          </w:p>
        </w:tc>
        <w:tc>
          <w:tcPr>
            <w:tcW w:w="3420" w:type="dxa"/>
            <w:gridSpan w:val="2"/>
            <w:vAlign w:val="center"/>
          </w:tcPr>
          <w:p w:rsidR="00942D49" w:rsidRDefault="00942D49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出版单位</w:t>
            </w:r>
          </w:p>
        </w:tc>
        <w:tc>
          <w:tcPr>
            <w:tcW w:w="900" w:type="dxa"/>
            <w:vAlign w:val="center"/>
          </w:tcPr>
          <w:p w:rsidR="00942D49" w:rsidRDefault="00942D49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版次</w:t>
            </w:r>
          </w:p>
        </w:tc>
        <w:tc>
          <w:tcPr>
            <w:tcW w:w="1080" w:type="dxa"/>
            <w:vAlign w:val="center"/>
          </w:tcPr>
          <w:p w:rsidR="00942D49" w:rsidRDefault="00942D49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年份</w:t>
            </w:r>
          </w:p>
        </w:tc>
      </w:tr>
      <w:tr w:rsidR="00901D43" w:rsidTr="00901D43">
        <w:trPr>
          <w:trHeight w:val="90"/>
          <w:jc w:val="center"/>
        </w:trPr>
        <w:tc>
          <w:tcPr>
            <w:tcW w:w="2340" w:type="dxa"/>
            <w:gridSpan w:val="2"/>
            <w:vAlign w:val="center"/>
          </w:tcPr>
          <w:p w:rsidR="00901D43" w:rsidRDefault="00901D43" w:rsidP="00901D43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概率论与数理统计教程</w:t>
            </w:r>
          </w:p>
        </w:tc>
        <w:tc>
          <w:tcPr>
            <w:tcW w:w="1440" w:type="dxa"/>
            <w:vAlign w:val="center"/>
          </w:tcPr>
          <w:p w:rsidR="00901D43" w:rsidRDefault="00901D43" w:rsidP="00901D43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茆诗松</w:t>
            </w:r>
          </w:p>
        </w:tc>
        <w:tc>
          <w:tcPr>
            <w:tcW w:w="3420" w:type="dxa"/>
            <w:gridSpan w:val="2"/>
            <w:vAlign w:val="center"/>
          </w:tcPr>
          <w:p w:rsidR="00901D43" w:rsidRDefault="00901D43" w:rsidP="00901D43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高等教育出版社</w:t>
            </w:r>
          </w:p>
        </w:tc>
        <w:tc>
          <w:tcPr>
            <w:tcW w:w="900" w:type="dxa"/>
            <w:vAlign w:val="center"/>
          </w:tcPr>
          <w:p w:rsidR="00901D43" w:rsidRDefault="00901D43" w:rsidP="00901D43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第三版</w:t>
            </w:r>
          </w:p>
        </w:tc>
        <w:tc>
          <w:tcPr>
            <w:tcW w:w="1080" w:type="dxa"/>
            <w:vAlign w:val="center"/>
          </w:tcPr>
          <w:p w:rsidR="00901D43" w:rsidRDefault="00901D43" w:rsidP="00901D4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201</w:t>
            </w:r>
            <w:r>
              <w:t>9</w:t>
            </w:r>
          </w:p>
        </w:tc>
      </w:tr>
      <w:tr w:rsidR="00942D49" w:rsidTr="00901D43">
        <w:trPr>
          <w:trHeight w:val="345"/>
          <w:jc w:val="center"/>
        </w:trPr>
        <w:tc>
          <w:tcPr>
            <w:tcW w:w="2340" w:type="dxa"/>
            <w:gridSpan w:val="2"/>
            <w:vAlign w:val="center"/>
          </w:tcPr>
          <w:p w:rsidR="00942D49" w:rsidRDefault="00942D49">
            <w:pPr>
              <w:jc w:val="center"/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:rsidR="00942D49" w:rsidRDefault="00942D49">
            <w:pPr>
              <w:jc w:val="center"/>
              <w:rPr>
                <w:rFonts w:hint="eastAsi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942D49" w:rsidRDefault="00942D49"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vAlign w:val="center"/>
          </w:tcPr>
          <w:p w:rsidR="00942D49" w:rsidRDefault="00942D49"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942D49" w:rsidRDefault="00942D49">
            <w:pPr>
              <w:jc w:val="center"/>
              <w:rPr>
                <w:rFonts w:hint="eastAsia"/>
              </w:rPr>
            </w:pPr>
          </w:p>
        </w:tc>
      </w:tr>
      <w:tr w:rsidR="00942D49" w:rsidTr="00901D43">
        <w:trPr>
          <w:trHeight w:val="345"/>
          <w:jc w:val="center"/>
        </w:trPr>
        <w:tc>
          <w:tcPr>
            <w:tcW w:w="2340" w:type="dxa"/>
            <w:gridSpan w:val="2"/>
            <w:vAlign w:val="center"/>
          </w:tcPr>
          <w:p w:rsidR="00942D49" w:rsidRDefault="00942D49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440" w:type="dxa"/>
            <w:vAlign w:val="center"/>
          </w:tcPr>
          <w:p w:rsidR="00942D49" w:rsidRDefault="00942D49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942D49" w:rsidRDefault="00942D49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900" w:type="dxa"/>
            <w:vAlign w:val="center"/>
          </w:tcPr>
          <w:p w:rsidR="00942D49" w:rsidRDefault="00942D49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080" w:type="dxa"/>
            <w:vAlign w:val="center"/>
          </w:tcPr>
          <w:p w:rsidR="00942D49" w:rsidRDefault="00942D49">
            <w:pPr>
              <w:jc w:val="center"/>
              <w:rPr>
                <w:rFonts w:hint="eastAsia"/>
                <w:b/>
              </w:rPr>
            </w:pPr>
          </w:p>
        </w:tc>
      </w:tr>
      <w:tr w:rsidR="00942D49" w:rsidTr="00901D43">
        <w:trPr>
          <w:trHeight w:val="345"/>
          <w:jc w:val="center"/>
        </w:trPr>
        <w:tc>
          <w:tcPr>
            <w:tcW w:w="2340" w:type="dxa"/>
            <w:gridSpan w:val="2"/>
            <w:vAlign w:val="center"/>
          </w:tcPr>
          <w:p w:rsidR="00942D49" w:rsidRDefault="00942D4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942D49" w:rsidRDefault="00942D4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942D49" w:rsidRDefault="00942D4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942D49" w:rsidRDefault="00942D49"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942D49" w:rsidRDefault="00942D4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42D49" w:rsidTr="00901D43">
        <w:trPr>
          <w:trHeight w:val="90"/>
          <w:jc w:val="center"/>
        </w:trPr>
        <w:tc>
          <w:tcPr>
            <w:tcW w:w="2340" w:type="dxa"/>
            <w:gridSpan w:val="2"/>
            <w:vAlign w:val="center"/>
          </w:tcPr>
          <w:p w:rsidR="00942D49" w:rsidRDefault="00942D4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942D49" w:rsidRDefault="00942D4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942D49" w:rsidRDefault="00942D4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942D49" w:rsidRDefault="00942D49"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942D49" w:rsidRDefault="00942D4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42D49" w:rsidTr="00901D43">
        <w:trPr>
          <w:trHeight w:val="90"/>
          <w:jc w:val="center"/>
        </w:trPr>
        <w:tc>
          <w:tcPr>
            <w:tcW w:w="2340" w:type="dxa"/>
            <w:gridSpan w:val="2"/>
            <w:vAlign w:val="center"/>
          </w:tcPr>
          <w:p w:rsidR="00942D49" w:rsidRDefault="00942D49">
            <w:pPr>
              <w:jc w:val="center"/>
              <w:rPr>
                <w:rFonts w:ascii="宋体" w:hAnsi="宋体" w:cs="Tahoma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942D49" w:rsidRDefault="00942D49">
            <w:pPr>
              <w:jc w:val="center"/>
              <w:rPr>
                <w:rFonts w:ascii="宋体" w:hAnsi="宋体" w:cs="Tahoma"/>
                <w:szCs w:val="21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942D49" w:rsidRDefault="00942D49">
            <w:pPr>
              <w:jc w:val="center"/>
              <w:rPr>
                <w:rFonts w:ascii="Tahoma" w:hAnsi="Tahoma" w:cs="Tahoma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942D49" w:rsidRDefault="00942D49"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942D49" w:rsidRDefault="00942D49">
            <w:pPr>
              <w:jc w:val="center"/>
              <w:rPr>
                <w:rFonts w:hint="eastAsia"/>
              </w:rPr>
            </w:pPr>
          </w:p>
        </w:tc>
      </w:tr>
      <w:tr w:rsidR="00942D49" w:rsidTr="00901D43">
        <w:trPr>
          <w:trHeight w:val="90"/>
          <w:jc w:val="center"/>
        </w:trPr>
        <w:tc>
          <w:tcPr>
            <w:tcW w:w="2340" w:type="dxa"/>
            <w:gridSpan w:val="2"/>
            <w:vAlign w:val="center"/>
          </w:tcPr>
          <w:p w:rsidR="00942D49" w:rsidRDefault="00942D49">
            <w:pPr>
              <w:jc w:val="center"/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:rsidR="00942D49" w:rsidRDefault="00942D49">
            <w:pPr>
              <w:jc w:val="center"/>
              <w:rPr>
                <w:rFonts w:hint="eastAsi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942D49" w:rsidRDefault="00942D49">
            <w:pPr>
              <w:jc w:val="center"/>
              <w:rPr>
                <w:rFonts w:hint="eastAsia"/>
              </w:rPr>
            </w:pPr>
          </w:p>
        </w:tc>
        <w:tc>
          <w:tcPr>
            <w:tcW w:w="900" w:type="dxa"/>
            <w:vAlign w:val="center"/>
          </w:tcPr>
          <w:p w:rsidR="00942D49" w:rsidRDefault="00942D49"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942D49" w:rsidRDefault="00942D49">
            <w:pPr>
              <w:jc w:val="center"/>
              <w:rPr>
                <w:rFonts w:hint="eastAsia"/>
              </w:rPr>
            </w:pPr>
          </w:p>
        </w:tc>
      </w:tr>
    </w:tbl>
    <w:p w:rsidR="00942D49" w:rsidRDefault="00942D49">
      <w:pPr>
        <w:rPr>
          <w:rFonts w:hint="eastAsia"/>
          <w:b/>
        </w:rPr>
      </w:pPr>
    </w:p>
    <w:sectPr w:rsidR="00942D49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7B9" w:rsidRDefault="007977B9" w:rsidP="00135A38">
      <w:r>
        <w:separator/>
      </w:r>
    </w:p>
  </w:endnote>
  <w:endnote w:type="continuationSeparator" w:id="0">
    <w:p w:rsidR="007977B9" w:rsidRDefault="007977B9" w:rsidP="00135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宋体-WinCharSetFFFF-H">
    <w:altName w:val="宋体"/>
    <w:charset w:val="86"/>
    <w:family w:val="auto"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7B9" w:rsidRDefault="007977B9" w:rsidP="00135A38">
      <w:r>
        <w:separator/>
      </w:r>
    </w:p>
  </w:footnote>
  <w:footnote w:type="continuationSeparator" w:id="0">
    <w:p w:rsidR="007977B9" w:rsidRDefault="007977B9" w:rsidP="00135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51D4E08"/>
    <w:multiLevelType w:val="singleLevel"/>
    <w:tmpl w:val="A51D4E08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014C6EFA"/>
    <w:multiLevelType w:val="hybridMultilevel"/>
    <w:tmpl w:val="5CB851E8"/>
    <w:lvl w:ilvl="0" w:tplc="0E4CC5D6">
      <w:start w:val="1"/>
      <w:numFmt w:val="decimal"/>
      <w:lvlText w:val="%1."/>
      <w:lvlJc w:val="left"/>
      <w:pPr>
        <w:ind w:left="58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8" w:hanging="420"/>
      </w:pPr>
    </w:lvl>
    <w:lvl w:ilvl="2" w:tplc="0409001B" w:tentative="1">
      <w:start w:val="1"/>
      <w:numFmt w:val="lowerRoman"/>
      <w:lvlText w:val="%3."/>
      <w:lvlJc w:val="right"/>
      <w:pPr>
        <w:ind w:left="1488" w:hanging="420"/>
      </w:pPr>
    </w:lvl>
    <w:lvl w:ilvl="3" w:tplc="0409000F" w:tentative="1">
      <w:start w:val="1"/>
      <w:numFmt w:val="decimal"/>
      <w:lvlText w:val="%4."/>
      <w:lvlJc w:val="left"/>
      <w:pPr>
        <w:ind w:left="1908" w:hanging="420"/>
      </w:pPr>
    </w:lvl>
    <w:lvl w:ilvl="4" w:tplc="04090019" w:tentative="1">
      <w:start w:val="1"/>
      <w:numFmt w:val="lowerLetter"/>
      <w:lvlText w:val="%5)"/>
      <w:lvlJc w:val="left"/>
      <w:pPr>
        <w:ind w:left="2328" w:hanging="420"/>
      </w:pPr>
    </w:lvl>
    <w:lvl w:ilvl="5" w:tplc="0409001B" w:tentative="1">
      <w:start w:val="1"/>
      <w:numFmt w:val="lowerRoman"/>
      <w:lvlText w:val="%6."/>
      <w:lvlJc w:val="right"/>
      <w:pPr>
        <w:ind w:left="2748" w:hanging="420"/>
      </w:pPr>
    </w:lvl>
    <w:lvl w:ilvl="6" w:tplc="0409000F" w:tentative="1">
      <w:start w:val="1"/>
      <w:numFmt w:val="decimal"/>
      <w:lvlText w:val="%7."/>
      <w:lvlJc w:val="left"/>
      <w:pPr>
        <w:ind w:left="3168" w:hanging="420"/>
      </w:pPr>
    </w:lvl>
    <w:lvl w:ilvl="7" w:tplc="04090019" w:tentative="1">
      <w:start w:val="1"/>
      <w:numFmt w:val="lowerLetter"/>
      <w:lvlText w:val="%8)"/>
      <w:lvlJc w:val="left"/>
      <w:pPr>
        <w:ind w:left="3588" w:hanging="420"/>
      </w:pPr>
    </w:lvl>
    <w:lvl w:ilvl="8" w:tplc="0409001B" w:tentative="1">
      <w:start w:val="1"/>
      <w:numFmt w:val="lowerRoman"/>
      <w:lvlText w:val="%9."/>
      <w:lvlJc w:val="right"/>
      <w:pPr>
        <w:ind w:left="4008" w:hanging="420"/>
      </w:pPr>
    </w:lvl>
  </w:abstractNum>
  <w:abstractNum w:abstractNumId="2" w15:restartNumberingAfterBreak="0">
    <w:nsid w:val="11FA8453"/>
    <w:multiLevelType w:val="singleLevel"/>
    <w:tmpl w:val="11FA8453"/>
    <w:lvl w:ilvl="0">
      <w:start w:val="4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B78"/>
    <w:rsid w:val="00013EBC"/>
    <w:rsid w:val="00052F48"/>
    <w:rsid w:val="0006689A"/>
    <w:rsid w:val="00084673"/>
    <w:rsid w:val="000865D9"/>
    <w:rsid w:val="000B4152"/>
    <w:rsid w:val="000D1512"/>
    <w:rsid w:val="00121A28"/>
    <w:rsid w:val="00135A38"/>
    <w:rsid w:val="001360D6"/>
    <w:rsid w:val="00160D18"/>
    <w:rsid w:val="00173DE0"/>
    <w:rsid w:val="00180021"/>
    <w:rsid w:val="00185CF4"/>
    <w:rsid w:val="00186616"/>
    <w:rsid w:val="0018792A"/>
    <w:rsid w:val="0019203D"/>
    <w:rsid w:val="001D4D2C"/>
    <w:rsid w:val="002210EF"/>
    <w:rsid w:val="00243CA6"/>
    <w:rsid w:val="002A763F"/>
    <w:rsid w:val="002A77C5"/>
    <w:rsid w:val="002C45E0"/>
    <w:rsid w:val="002F5DB3"/>
    <w:rsid w:val="003015ED"/>
    <w:rsid w:val="003105C0"/>
    <w:rsid w:val="00335977"/>
    <w:rsid w:val="00355FF7"/>
    <w:rsid w:val="00392553"/>
    <w:rsid w:val="003A1793"/>
    <w:rsid w:val="003C1875"/>
    <w:rsid w:val="003C1AE3"/>
    <w:rsid w:val="003C7555"/>
    <w:rsid w:val="003D46F5"/>
    <w:rsid w:val="003E1EAA"/>
    <w:rsid w:val="00403422"/>
    <w:rsid w:val="0042270F"/>
    <w:rsid w:val="00427984"/>
    <w:rsid w:val="00445B61"/>
    <w:rsid w:val="00462BF7"/>
    <w:rsid w:val="004A489E"/>
    <w:rsid w:val="004B24B0"/>
    <w:rsid w:val="004B6A4E"/>
    <w:rsid w:val="00510EF0"/>
    <w:rsid w:val="0058303E"/>
    <w:rsid w:val="005928A5"/>
    <w:rsid w:val="00596FBA"/>
    <w:rsid w:val="005C2247"/>
    <w:rsid w:val="00603BA9"/>
    <w:rsid w:val="00626B58"/>
    <w:rsid w:val="00642231"/>
    <w:rsid w:val="00652C1A"/>
    <w:rsid w:val="00655A52"/>
    <w:rsid w:val="00672352"/>
    <w:rsid w:val="00684C7A"/>
    <w:rsid w:val="006B23BB"/>
    <w:rsid w:val="00703139"/>
    <w:rsid w:val="00754836"/>
    <w:rsid w:val="007559C3"/>
    <w:rsid w:val="0077351E"/>
    <w:rsid w:val="00783817"/>
    <w:rsid w:val="007977B9"/>
    <w:rsid w:val="007C11ED"/>
    <w:rsid w:val="007E5BE3"/>
    <w:rsid w:val="00813BCD"/>
    <w:rsid w:val="00836B8F"/>
    <w:rsid w:val="0084421B"/>
    <w:rsid w:val="008709C2"/>
    <w:rsid w:val="008E56BC"/>
    <w:rsid w:val="008E65C4"/>
    <w:rsid w:val="00901D43"/>
    <w:rsid w:val="0094099E"/>
    <w:rsid w:val="00941697"/>
    <w:rsid w:val="00942D49"/>
    <w:rsid w:val="009A2454"/>
    <w:rsid w:val="009B2582"/>
    <w:rsid w:val="009D7B78"/>
    <w:rsid w:val="009F6609"/>
    <w:rsid w:val="00A2028B"/>
    <w:rsid w:val="00A24033"/>
    <w:rsid w:val="00A26C5B"/>
    <w:rsid w:val="00A37349"/>
    <w:rsid w:val="00A90EBF"/>
    <w:rsid w:val="00AC111E"/>
    <w:rsid w:val="00B4087E"/>
    <w:rsid w:val="00B66561"/>
    <w:rsid w:val="00B926D7"/>
    <w:rsid w:val="00BA068A"/>
    <w:rsid w:val="00BA157F"/>
    <w:rsid w:val="00BA3773"/>
    <w:rsid w:val="00BC5CCF"/>
    <w:rsid w:val="00C13911"/>
    <w:rsid w:val="00C72A98"/>
    <w:rsid w:val="00C80A07"/>
    <w:rsid w:val="00C92BD2"/>
    <w:rsid w:val="00CD6013"/>
    <w:rsid w:val="00CF5C8A"/>
    <w:rsid w:val="00CF64E1"/>
    <w:rsid w:val="00D15CA4"/>
    <w:rsid w:val="00D241DF"/>
    <w:rsid w:val="00D444B4"/>
    <w:rsid w:val="00D47C45"/>
    <w:rsid w:val="00D51289"/>
    <w:rsid w:val="00D9687E"/>
    <w:rsid w:val="00DC4B9D"/>
    <w:rsid w:val="00E00074"/>
    <w:rsid w:val="00E017C8"/>
    <w:rsid w:val="00E10948"/>
    <w:rsid w:val="00E2135E"/>
    <w:rsid w:val="00E453A0"/>
    <w:rsid w:val="00E53B10"/>
    <w:rsid w:val="00E76C0E"/>
    <w:rsid w:val="00EC0503"/>
    <w:rsid w:val="00F420AC"/>
    <w:rsid w:val="00F81D16"/>
    <w:rsid w:val="00FA3510"/>
    <w:rsid w:val="00FC0A86"/>
    <w:rsid w:val="00FC3315"/>
    <w:rsid w:val="00FD2528"/>
    <w:rsid w:val="00FD502A"/>
    <w:rsid w:val="00FE4C27"/>
    <w:rsid w:val="02F45E67"/>
    <w:rsid w:val="036D482C"/>
    <w:rsid w:val="03864D68"/>
    <w:rsid w:val="06B40F8F"/>
    <w:rsid w:val="0B591E2E"/>
    <w:rsid w:val="0B904506"/>
    <w:rsid w:val="0F924E67"/>
    <w:rsid w:val="10655CF3"/>
    <w:rsid w:val="19024013"/>
    <w:rsid w:val="1C9B12FC"/>
    <w:rsid w:val="1F730AA4"/>
    <w:rsid w:val="2C55584A"/>
    <w:rsid w:val="2C6B57F0"/>
    <w:rsid w:val="2D901D4F"/>
    <w:rsid w:val="2E6A74B4"/>
    <w:rsid w:val="2EFF3BF7"/>
    <w:rsid w:val="349C315B"/>
    <w:rsid w:val="373B05AC"/>
    <w:rsid w:val="3DAE0540"/>
    <w:rsid w:val="3FC06CA7"/>
    <w:rsid w:val="41321107"/>
    <w:rsid w:val="414E1341"/>
    <w:rsid w:val="42F06ADE"/>
    <w:rsid w:val="431B31A5"/>
    <w:rsid w:val="44D74780"/>
    <w:rsid w:val="4DEA5F62"/>
    <w:rsid w:val="52121BB5"/>
    <w:rsid w:val="54DF2FCC"/>
    <w:rsid w:val="584E3BED"/>
    <w:rsid w:val="5B7C3DA5"/>
    <w:rsid w:val="5E7C7D30"/>
    <w:rsid w:val="5E8764BE"/>
    <w:rsid w:val="618C1A96"/>
    <w:rsid w:val="637F5749"/>
    <w:rsid w:val="652C40D4"/>
    <w:rsid w:val="66782EA9"/>
    <w:rsid w:val="67706CC4"/>
    <w:rsid w:val="6A9E6E7B"/>
    <w:rsid w:val="6C5164C2"/>
    <w:rsid w:val="71BE49AA"/>
    <w:rsid w:val="724C7A91"/>
    <w:rsid w:val="791E09E7"/>
    <w:rsid w:val="7AB0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59E4B2F1"/>
  <w15:chartTrackingRefBased/>
  <w15:docId w15:val="{4F2C61BA-6674-414A-9E1F-C7DDB9C1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paragraph" w:styleId="a5">
    <w:name w:val="Normal (Web)"/>
    <w:basedOn w:val="a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paragraph" w:styleId="a6">
    <w:name w:val="Balloon Text"/>
    <w:basedOn w:val="a"/>
    <w:semiHidden/>
    <w:rPr>
      <w:sz w:val="18"/>
      <w:szCs w:val="18"/>
    </w:rPr>
  </w:style>
  <w:style w:type="paragraph" w:customStyle="1" w:styleId="ParaChar">
    <w:name w:val="默认段落字体 Para Char"/>
    <w:basedOn w:val="a"/>
    <w:pPr>
      <w:spacing w:beforeLines="50" w:before="50" w:afterLines="50" w:after="50"/>
      <w:jc w:val="left"/>
    </w:pPr>
    <w:rPr>
      <w:sz w:val="30"/>
      <w:szCs w:val="32"/>
    </w:rPr>
  </w:style>
  <w:style w:type="paragraph" w:customStyle="1" w:styleId="Char1">
    <w:name w:val="Char"/>
    <w:basedOn w:val="a"/>
    <w:pPr>
      <w:widowControl/>
      <w:spacing w:after="160" w:line="240" w:lineRule="exact"/>
      <w:jc w:val="left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188</Words>
  <Characters>1075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Company>yjsc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安徽农业大学</dc:title>
  <dc:subject/>
  <dc:creator>lp</dc:creator>
  <cp:keywords/>
  <cp:lastModifiedBy>ThinkPad</cp:lastModifiedBy>
  <cp:revision>3</cp:revision>
  <cp:lastPrinted>2015-04-29T02:24:00Z</cp:lastPrinted>
  <dcterms:created xsi:type="dcterms:W3CDTF">2024-08-26T11:03:00Z</dcterms:created>
  <dcterms:modified xsi:type="dcterms:W3CDTF">2024-08-26T11:37:00Z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  <property fmtid="{D5CDD505-2E9C-101B-9397-08002B2CF9AE}" pid="3" name="MTWinEqns">
    <vt:bool>true</vt:bool>
  </property>
</Properties>
</file>