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FB0FA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>202</w:t>
      </w:r>
      <w:r>
        <w:rPr>
          <w:rFonts w:hint="eastAsia" w:eastAsia="楷体_GB2312"/>
          <w:b/>
          <w:sz w:val="28"/>
          <w:szCs w:val="28"/>
        </w:rPr>
        <w:t>6</w:t>
      </w:r>
      <w:r>
        <w:rPr>
          <w:rFonts w:hint="eastAsia" w:ascii="楷体_GB2312" w:eastAsia="楷体_GB2312"/>
          <w:b/>
          <w:sz w:val="28"/>
          <w:szCs w:val="28"/>
        </w:rPr>
        <w:t xml:space="preserve">年南通大学硕士研究生入学考试复习大纲 </w:t>
      </w:r>
    </w:p>
    <w:p w14:paraId="705583F2">
      <w:pPr>
        <w:spacing w:before="156" w:beforeLines="50" w:line="400" w:lineRule="exac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培养单位:  数学与统计学院                     </w:t>
      </w:r>
      <w:r>
        <w:rPr>
          <w:rFonts w:hint="eastAsia"/>
          <w:b/>
          <w:sz w:val="28"/>
          <w:szCs w:val="28"/>
        </w:rPr>
        <w:t xml:space="preserve"> 2025年6月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80"/>
        <w:gridCol w:w="1440"/>
        <w:gridCol w:w="1800"/>
        <w:gridCol w:w="1620"/>
        <w:gridCol w:w="900"/>
        <w:gridCol w:w="1080"/>
      </w:tblGrid>
      <w:tr w14:paraId="68B2D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vAlign w:val="center"/>
          </w:tcPr>
          <w:p w14:paraId="077C82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14:paraId="6BE85D0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统计学综合</w:t>
            </w:r>
          </w:p>
        </w:tc>
        <w:tc>
          <w:tcPr>
            <w:tcW w:w="1620" w:type="dxa"/>
            <w:vAlign w:val="center"/>
          </w:tcPr>
          <w:p w14:paraId="625372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14:paraId="73879E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14:paraId="3EEA8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80" w:type="dxa"/>
            <w:gridSpan w:val="7"/>
            <w:vAlign w:val="center"/>
          </w:tcPr>
          <w:p w14:paraId="182DAA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考试范围及要点</w:t>
            </w:r>
          </w:p>
        </w:tc>
      </w:tr>
      <w:tr w14:paraId="3D032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180" w:type="dxa"/>
            <w:gridSpan w:val="7"/>
          </w:tcPr>
          <w:p w14:paraId="46E83E01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-WinCharSetFFFF-H" w:eastAsia="宋体-WinCharSetFFFF-H" w:cs="宋体-WinCharSetFFFF-H"/>
                <w:kern w:val="0"/>
                <w:szCs w:val="21"/>
              </w:rPr>
            </w:pPr>
            <w:r>
              <w:rPr>
                <w:rFonts w:hint="eastAsia" w:ascii="宋体-WinCharSetFFFF-H" w:eastAsia="宋体-WinCharSetFFFF-H" w:cs="宋体-WinCharSetFFFF-H"/>
                <w:kern w:val="0"/>
                <w:szCs w:val="21"/>
              </w:rPr>
              <w:t>统计学综合是南通大学数学与统计学院应用统计专业硕士复试科目。本考试大纲适用于报考数学与统计学院应用统计专业硕士的考生。</w:t>
            </w:r>
          </w:p>
          <w:p w14:paraId="019D5476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-WinCharSetFFFF-H" w:eastAsia="宋体-WinCharSetFFFF-H" w:cs="宋体-WinCharSetFFFF-H"/>
                <w:kern w:val="0"/>
                <w:szCs w:val="21"/>
              </w:rPr>
            </w:pPr>
          </w:p>
          <w:p w14:paraId="79F02889">
            <w:pPr>
              <w:autoSpaceDE w:val="0"/>
              <w:autoSpaceDN w:val="0"/>
              <w:adjustRightInd w:val="0"/>
              <w:ind w:firstLine="210" w:firstLineChars="100"/>
              <w:jc w:val="left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 xml:space="preserve">本科目的考试范围及要点： </w:t>
            </w:r>
          </w:p>
          <w:p w14:paraId="5B6155F8">
            <w:pPr>
              <w:autoSpaceDE w:val="0"/>
              <w:autoSpaceDN w:val="0"/>
              <w:adjustRightInd w:val="0"/>
              <w:ind w:firstLine="210" w:firstLineChars="100"/>
              <w:jc w:val="left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 xml:space="preserve">  一、</w:t>
            </w:r>
            <w:r>
              <w:rPr>
                <w:rFonts w:hint="eastAsia" w:eastAsia="宋体-WinCharSetFFFF-H"/>
                <w:kern w:val="0"/>
                <w:szCs w:val="21"/>
              </w:rPr>
              <w:t>统计学的基本概念</w:t>
            </w:r>
          </w:p>
          <w:p w14:paraId="3B214C9A">
            <w:pPr>
              <w:spacing w:line="440" w:lineRule="exact"/>
              <w:ind w:firstLine="428" w:firstLineChars="204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>1、统计量的定义和常见的统计量及其性质</w:t>
            </w:r>
            <w:r>
              <w:rPr>
                <w:rFonts w:hint="eastAsia" w:eastAsia="宋体-WinCharSetFFFF-H"/>
                <w:kern w:val="0"/>
                <w:szCs w:val="21"/>
              </w:rPr>
              <w:t>；</w:t>
            </w:r>
          </w:p>
          <w:p w14:paraId="24687892">
            <w:pPr>
              <w:spacing w:line="440" w:lineRule="exact"/>
              <w:ind w:firstLine="428" w:firstLineChars="204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>2、三大抽样分布和三大抽样分布定理</w:t>
            </w:r>
            <w:r>
              <w:rPr>
                <w:rFonts w:hint="eastAsia" w:eastAsia="宋体-WinCharSetFFFF-H"/>
                <w:kern w:val="0"/>
                <w:szCs w:val="21"/>
              </w:rPr>
              <w:t>；</w:t>
            </w:r>
          </w:p>
          <w:p w14:paraId="2D4A6AEB">
            <w:pPr>
              <w:spacing w:line="440" w:lineRule="exact"/>
              <w:ind w:firstLine="428" w:firstLineChars="204"/>
              <w:rPr>
                <w:rFonts w:hint="eastAsia" w:eastAsia="宋体-WinCharSetFFFF-H"/>
                <w:kern w:val="0"/>
                <w:szCs w:val="21"/>
                <w:lang w:eastAsia="zh-CN"/>
              </w:rPr>
            </w:pPr>
            <w:r>
              <w:rPr>
                <w:rFonts w:eastAsia="宋体-WinCharSetFFFF-H"/>
                <w:kern w:val="0"/>
                <w:szCs w:val="21"/>
              </w:rPr>
              <w:t>3、充分统计量</w:t>
            </w:r>
            <w:r>
              <w:rPr>
                <w:rFonts w:hint="eastAsia" w:eastAsia="宋体-WinCharSetFFFF-H"/>
                <w:kern w:val="0"/>
                <w:szCs w:val="21"/>
              </w:rPr>
              <w:t>的性质和</w:t>
            </w:r>
            <w:r>
              <w:rPr>
                <w:rFonts w:eastAsia="宋体-WinCharSetFFFF-H"/>
                <w:kern w:val="0"/>
                <w:szCs w:val="21"/>
              </w:rPr>
              <w:t>判断</w:t>
            </w:r>
            <w:r>
              <w:rPr>
                <w:rFonts w:hint="eastAsia" w:eastAsia="宋体-WinCharSetFFFF-H"/>
                <w:kern w:val="0"/>
                <w:szCs w:val="21"/>
                <w:lang w:eastAsia="zh-CN"/>
              </w:rPr>
              <w:t>。</w:t>
            </w:r>
          </w:p>
          <w:p w14:paraId="5455F09F">
            <w:pPr>
              <w:spacing w:line="440" w:lineRule="exact"/>
              <w:ind w:firstLine="428" w:firstLineChars="204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二、统计推断</w:t>
            </w:r>
          </w:p>
          <w:p w14:paraId="4C4AC8EA">
            <w:pPr>
              <w:spacing w:line="440" w:lineRule="exact"/>
              <w:ind w:firstLine="428" w:firstLineChars="204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>1、</w:t>
            </w:r>
            <w:r>
              <w:rPr>
                <w:rFonts w:hint="eastAsia" w:eastAsia="宋体-WinCharSetFFFF-H"/>
                <w:kern w:val="0"/>
                <w:szCs w:val="21"/>
              </w:rPr>
              <w:t>参数估计：</w:t>
            </w:r>
            <w:r>
              <w:rPr>
                <w:rFonts w:eastAsia="宋体-WinCharSetFFFF-H"/>
                <w:kern w:val="0"/>
                <w:szCs w:val="21"/>
              </w:rPr>
              <w:t>矩估计和最大似然估计方法</w:t>
            </w:r>
            <w:r>
              <w:rPr>
                <w:rFonts w:hint="eastAsia" w:eastAsia="宋体-WinCharSetFFFF-H"/>
                <w:kern w:val="0"/>
                <w:szCs w:val="21"/>
              </w:rPr>
              <w:t>、</w:t>
            </w:r>
            <w:r>
              <w:rPr>
                <w:rFonts w:eastAsia="宋体-WinCharSetFFFF-H"/>
                <w:kern w:val="0"/>
                <w:szCs w:val="21"/>
              </w:rPr>
              <w:t>估计量好坏的三个标准(无偏性、有效性、相合性)</w:t>
            </w:r>
            <w:r>
              <w:rPr>
                <w:rFonts w:hint="eastAsia" w:eastAsia="宋体-WinCharSetFFFF-H"/>
                <w:kern w:val="0"/>
                <w:szCs w:val="21"/>
              </w:rPr>
              <w:t>、常用的参数</w:t>
            </w:r>
            <w:r>
              <w:rPr>
                <w:rFonts w:eastAsia="宋体-WinCharSetFFFF-H"/>
                <w:kern w:val="0"/>
                <w:szCs w:val="21"/>
              </w:rPr>
              <w:t>置信区间构造方法；</w:t>
            </w:r>
          </w:p>
          <w:p w14:paraId="3F89ABB8">
            <w:pPr>
              <w:spacing w:line="440" w:lineRule="exact"/>
              <w:ind w:firstLine="428" w:firstLineChars="204"/>
              <w:rPr>
                <w:rFonts w:hint="eastAsia" w:eastAsia="宋体-WinCharSetFFFF-H"/>
                <w:kern w:val="0"/>
                <w:szCs w:val="21"/>
                <w:lang w:eastAsia="zh-CN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2</w:t>
            </w:r>
            <w:r>
              <w:rPr>
                <w:rFonts w:eastAsia="宋体-WinCharSetFFFF-H"/>
                <w:kern w:val="0"/>
                <w:szCs w:val="21"/>
              </w:rPr>
              <w:t>、假设检验</w:t>
            </w:r>
            <w:r>
              <w:rPr>
                <w:rFonts w:hint="eastAsia" w:eastAsia="宋体-WinCharSetFFFF-H"/>
                <w:kern w:val="0"/>
                <w:szCs w:val="21"/>
              </w:rPr>
              <w:t>：</w:t>
            </w:r>
            <w:r>
              <w:rPr>
                <w:rFonts w:eastAsia="宋体-WinCharSetFFFF-H"/>
                <w:kern w:val="0"/>
                <w:szCs w:val="21"/>
              </w:rPr>
              <w:t>两类错误</w:t>
            </w:r>
            <w:r>
              <w:rPr>
                <w:rFonts w:hint="eastAsia" w:eastAsia="宋体-WinCharSetFFFF-H"/>
                <w:kern w:val="0"/>
                <w:szCs w:val="21"/>
              </w:rPr>
              <w:t>和</w:t>
            </w:r>
            <w:r>
              <w:rPr>
                <w:rFonts w:eastAsia="宋体-WinCharSetFFFF-H"/>
                <w:kern w:val="0"/>
                <w:szCs w:val="21"/>
              </w:rPr>
              <w:t>功效函数之间的关系</w:t>
            </w:r>
            <w:r>
              <w:rPr>
                <w:rFonts w:hint="eastAsia" w:eastAsia="宋体-WinCharSetFFFF-H"/>
                <w:kern w:val="0"/>
                <w:szCs w:val="21"/>
              </w:rPr>
              <w:t>、</w:t>
            </w:r>
            <w:r>
              <w:rPr>
                <w:rFonts w:eastAsia="宋体-WinCharSetFFFF-H"/>
                <w:kern w:val="0"/>
                <w:szCs w:val="21"/>
              </w:rPr>
              <w:t>显著性检验原理和方法</w:t>
            </w:r>
            <w:r>
              <w:rPr>
                <w:rFonts w:hint="eastAsia" w:eastAsia="宋体-WinCharSetFFFF-H"/>
                <w:kern w:val="0"/>
                <w:szCs w:val="21"/>
              </w:rPr>
              <w:t>、</w:t>
            </w:r>
            <w:r>
              <w:rPr>
                <w:rFonts w:eastAsia="宋体-WinCharSetFFFF-H"/>
                <w:kern w:val="0"/>
                <w:szCs w:val="21"/>
              </w:rPr>
              <w:t>单个和两个正态总体的均值和方差的检验</w:t>
            </w:r>
            <w:r>
              <w:rPr>
                <w:rFonts w:hint="eastAsia" w:eastAsia="宋体-WinCharSetFFFF-H"/>
                <w:kern w:val="0"/>
                <w:szCs w:val="21"/>
                <w:lang w:eastAsia="zh-CN"/>
              </w:rPr>
              <w:t>。</w:t>
            </w:r>
          </w:p>
          <w:p w14:paraId="6CF9601E">
            <w:pPr>
              <w:spacing w:line="440" w:lineRule="exact"/>
              <w:ind w:firstLine="428" w:firstLineChars="204"/>
              <w:rPr>
                <w:rFonts w:eastAsia="宋体-WinCharSetFFFF-H"/>
                <w:kern w:val="0"/>
                <w:szCs w:val="21"/>
              </w:rPr>
            </w:pPr>
          </w:p>
          <w:p w14:paraId="39773382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三、方差分析</w:t>
            </w:r>
          </w:p>
          <w:p w14:paraId="03E1B665">
            <w:pPr>
              <w:ind w:firstLine="435"/>
              <w:rPr>
                <w:rFonts w:hint="eastAsia" w:eastAsia="宋体-WinCharSetFFFF-H"/>
                <w:kern w:val="0"/>
                <w:szCs w:val="21"/>
                <w:lang w:eastAsia="zh-CN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1、单因子方差分析方法</w:t>
            </w:r>
            <w:r>
              <w:rPr>
                <w:rFonts w:hint="eastAsia" w:eastAsia="宋体-WinCharSetFFFF-H"/>
                <w:kern w:val="0"/>
                <w:szCs w:val="21"/>
                <w:lang w:eastAsia="zh-CN"/>
              </w:rPr>
              <w:t>。</w:t>
            </w:r>
          </w:p>
          <w:p w14:paraId="28D5D2ED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  <w:p w14:paraId="48BA7F2D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四、回归分析</w:t>
            </w:r>
          </w:p>
          <w:p w14:paraId="721EEB25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1、一元、多元线性回归模型的最小二乘估计及其估计量的性质；</w:t>
            </w:r>
          </w:p>
          <w:p w14:paraId="257F41FA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2、回归方程的显著性检验和回归系数的显著性检验，常用的回归诊断方法；</w:t>
            </w:r>
          </w:p>
          <w:p w14:paraId="728AF1C4">
            <w:pPr>
              <w:ind w:firstLine="435"/>
              <w:rPr>
                <w:rFonts w:hint="eastAsia" w:eastAsia="宋体-WinCharSetFFFF-H"/>
                <w:kern w:val="0"/>
                <w:szCs w:val="21"/>
                <w:lang w:eastAsia="zh-CN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3、岭回归、L</w:t>
            </w:r>
            <w:r>
              <w:rPr>
                <w:rFonts w:eastAsia="宋体-WinCharSetFFFF-H"/>
                <w:kern w:val="0"/>
                <w:szCs w:val="21"/>
              </w:rPr>
              <w:t>ogist</w:t>
            </w:r>
            <w:r>
              <w:rPr>
                <w:rFonts w:hint="eastAsia" w:eastAsia="宋体-WinCharSetFFFF-H"/>
                <w:kern w:val="0"/>
                <w:szCs w:val="21"/>
              </w:rPr>
              <w:t>ic回归初步</w:t>
            </w:r>
            <w:r>
              <w:rPr>
                <w:rFonts w:hint="eastAsia" w:eastAsia="宋体-WinCharSetFFFF-H"/>
                <w:kern w:val="0"/>
                <w:szCs w:val="21"/>
                <w:lang w:eastAsia="zh-CN"/>
              </w:rPr>
              <w:t>。</w:t>
            </w:r>
          </w:p>
          <w:p w14:paraId="795DF1E6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  <w:p w14:paraId="200CE19E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五、多元统计分析</w:t>
            </w:r>
          </w:p>
          <w:p w14:paraId="067E2C7F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1、多元正态分布的性质、多元正态分布的参数估计；</w:t>
            </w:r>
          </w:p>
          <w:p w14:paraId="28AE54E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2、判别分析、聚类分析方法；</w:t>
            </w:r>
          </w:p>
          <w:p w14:paraId="1A31A52A">
            <w:pPr>
              <w:ind w:firstLine="435"/>
              <w:rPr>
                <w:rFonts w:hint="eastAsia" w:eastAsia="宋体-WinCharSetFFFF-H"/>
                <w:kern w:val="0"/>
                <w:szCs w:val="21"/>
                <w:lang w:eastAsia="zh-CN"/>
              </w:rPr>
            </w:pPr>
            <w:r>
              <w:rPr>
                <w:rFonts w:hint="eastAsia" w:eastAsia="宋体-WinCharSetFFFF-H"/>
                <w:kern w:val="0"/>
                <w:szCs w:val="21"/>
              </w:rPr>
              <w:t>3、主成分分析及其应用</w:t>
            </w:r>
            <w:r>
              <w:rPr>
                <w:rFonts w:hint="eastAsia" w:eastAsia="宋体-WinCharSetFFFF-H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  <w:p w14:paraId="13634251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</w:tc>
      </w:tr>
      <w:tr w14:paraId="2DB4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180" w:type="dxa"/>
            <w:gridSpan w:val="7"/>
            <w:vAlign w:val="center"/>
          </w:tcPr>
          <w:p w14:paraId="042093D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试题结构：</w:t>
            </w:r>
          </w:p>
        </w:tc>
      </w:tr>
      <w:tr w14:paraId="5B07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  <w:gridSpan w:val="7"/>
          </w:tcPr>
          <w:p w14:paraId="5733B1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试卷分值：150分，</w:t>
            </w:r>
          </w:p>
          <w:p w14:paraId="4CD6874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计算题占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0分，</w:t>
            </w:r>
          </w:p>
          <w:p w14:paraId="448A3C6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解答题占50分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 w14:paraId="5FA55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76D115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1440" w:type="dxa"/>
            <w:vAlign w:val="center"/>
          </w:tcPr>
          <w:p w14:paraId="35266C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3420" w:type="dxa"/>
            <w:gridSpan w:val="2"/>
            <w:vAlign w:val="center"/>
          </w:tcPr>
          <w:p w14:paraId="4C5455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14:paraId="7196FC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14:paraId="6EC4878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14:paraId="04F6E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40" w:type="dxa"/>
            <w:gridSpan w:val="2"/>
            <w:vAlign w:val="center"/>
          </w:tcPr>
          <w:p w14:paraId="284964F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概率论与数理统计教程</w:t>
            </w:r>
          </w:p>
        </w:tc>
        <w:tc>
          <w:tcPr>
            <w:tcW w:w="1440" w:type="dxa"/>
            <w:vAlign w:val="center"/>
          </w:tcPr>
          <w:p w14:paraId="3E7519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茆诗松</w:t>
            </w:r>
          </w:p>
        </w:tc>
        <w:tc>
          <w:tcPr>
            <w:tcW w:w="3420" w:type="dxa"/>
            <w:gridSpan w:val="2"/>
            <w:vAlign w:val="center"/>
          </w:tcPr>
          <w:p w14:paraId="12AD32A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16F6B37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第三版</w:t>
            </w:r>
          </w:p>
        </w:tc>
        <w:tc>
          <w:tcPr>
            <w:tcW w:w="1080" w:type="dxa"/>
            <w:vAlign w:val="center"/>
          </w:tcPr>
          <w:p w14:paraId="6B6B5C37">
            <w:pPr>
              <w:jc w:val="center"/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14:paraId="55DF4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615A84D2">
            <w:pPr>
              <w:jc w:val="center"/>
            </w:pPr>
            <w:r>
              <w:rPr>
                <w:rFonts w:hint="eastAsia"/>
              </w:rPr>
              <w:t>应用回归分析</w:t>
            </w:r>
          </w:p>
        </w:tc>
        <w:tc>
          <w:tcPr>
            <w:tcW w:w="1440" w:type="dxa"/>
            <w:vAlign w:val="center"/>
          </w:tcPr>
          <w:p w14:paraId="499B677D">
            <w:pPr>
              <w:jc w:val="center"/>
            </w:pPr>
            <w:r>
              <w:rPr>
                <w:rFonts w:hint="eastAsia"/>
              </w:rPr>
              <w:t>何晓群</w:t>
            </w:r>
          </w:p>
        </w:tc>
        <w:tc>
          <w:tcPr>
            <w:tcW w:w="3420" w:type="dxa"/>
            <w:gridSpan w:val="2"/>
            <w:vAlign w:val="center"/>
          </w:tcPr>
          <w:p w14:paraId="09EA4786">
            <w:pPr>
              <w:jc w:val="center"/>
            </w:pPr>
            <w:r>
              <w:rPr>
                <w:rFonts w:hint="eastAsia"/>
              </w:rPr>
              <w:t>电子工业出版社</w:t>
            </w:r>
          </w:p>
        </w:tc>
        <w:tc>
          <w:tcPr>
            <w:tcW w:w="900" w:type="dxa"/>
            <w:vAlign w:val="center"/>
          </w:tcPr>
          <w:p w14:paraId="6B7D2986">
            <w:pPr>
              <w:jc w:val="center"/>
            </w:pPr>
            <w:r>
              <w:rPr>
                <w:rFonts w:hint="eastAsia"/>
              </w:rPr>
              <w:t>第二版</w:t>
            </w:r>
          </w:p>
        </w:tc>
        <w:tc>
          <w:tcPr>
            <w:tcW w:w="1080" w:type="dxa"/>
            <w:vAlign w:val="center"/>
          </w:tcPr>
          <w:p w14:paraId="56F436C7">
            <w:pPr>
              <w:jc w:val="center"/>
            </w:pPr>
            <w:r>
              <w:rPr>
                <w:rFonts w:hint="eastAsia"/>
              </w:rPr>
              <w:t>2</w:t>
            </w:r>
            <w:r>
              <w:t>017</w:t>
            </w:r>
          </w:p>
        </w:tc>
      </w:tr>
      <w:tr w14:paraId="72C09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4B060FFE">
            <w:pPr>
              <w:jc w:val="center"/>
            </w:pPr>
            <w:r>
              <w:rPr>
                <w:rFonts w:hint="eastAsia"/>
              </w:rPr>
              <w:t>应用多元统计分析</w:t>
            </w:r>
          </w:p>
        </w:tc>
        <w:tc>
          <w:tcPr>
            <w:tcW w:w="1440" w:type="dxa"/>
            <w:vAlign w:val="center"/>
          </w:tcPr>
          <w:p w14:paraId="3D243D96">
            <w:pPr>
              <w:jc w:val="center"/>
            </w:pPr>
            <w:r>
              <w:rPr>
                <w:rFonts w:hint="eastAsia"/>
              </w:rPr>
              <w:t>朱建平</w:t>
            </w:r>
          </w:p>
        </w:tc>
        <w:tc>
          <w:tcPr>
            <w:tcW w:w="3420" w:type="dxa"/>
            <w:gridSpan w:val="2"/>
            <w:vAlign w:val="center"/>
          </w:tcPr>
          <w:p w14:paraId="66F6E1AB">
            <w:pPr>
              <w:jc w:val="center"/>
            </w:pPr>
            <w:r>
              <w:rPr>
                <w:rFonts w:hint="eastAsia"/>
              </w:rPr>
              <w:t>科学出版社</w:t>
            </w:r>
          </w:p>
        </w:tc>
        <w:tc>
          <w:tcPr>
            <w:tcW w:w="900" w:type="dxa"/>
            <w:vAlign w:val="center"/>
          </w:tcPr>
          <w:p w14:paraId="45B6584D">
            <w:pPr>
              <w:jc w:val="center"/>
            </w:pPr>
            <w:r>
              <w:rPr>
                <w:rFonts w:hint="eastAsia"/>
              </w:rPr>
              <w:t>第四版</w:t>
            </w:r>
          </w:p>
        </w:tc>
        <w:tc>
          <w:tcPr>
            <w:tcW w:w="1080" w:type="dxa"/>
            <w:vAlign w:val="center"/>
          </w:tcPr>
          <w:p w14:paraId="5BEFE94F">
            <w:pPr>
              <w:jc w:val="center"/>
            </w:pPr>
            <w:r>
              <w:rPr>
                <w:rFonts w:hint="eastAsia"/>
              </w:rPr>
              <w:t>2</w:t>
            </w:r>
            <w:r>
              <w:t>023</w:t>
            </w:r>
          </w:p>
        </w:tc>
      </w:tr>
    </w:tbl>
    <w:p w14:paraId="4E4BE43D">
      <w:pPr>
        <w:rPr>
          <w:b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C6EFA"/>
    <w:multiLevelType w:val="multilevel"/>
    <w:tmpl w:val="014C6EFA"/>
    <w:lvl w:ilvl="0" w:tentative="0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68" w:hanging="420"/>
      </w:pPr>
    </w:lvl>
    <w:lvl w:ilvl="2" w:tentative="0">
      <w:start w:val="1"/>
      <w:numFmt w:val="lowerRoman"/>
      <w:lvlText w:val="%3."/>
      <w:lvlJc w:val="right"/>
      <w:pPr>
        <w:ind w:left="1488" w:hanging="420"/>
      </w:pPr>
    </w:lvl>
    <w:lvl w:ilvl="3" w:tentative="0">
      <w:start w:val="1"/>
      <w:numFmt w:val="decimal"/>
      <w:lvlText w:val="%4."/>
      <w:lvlJc w:val="left"/>
      <w:pPr>
        <w:ind w:left="1908" w:hanging="420"/>
      </w:pPr>
    </w:lvl>
    <w:lvl w:ilvl="4" w:tentative="0">
      <w:start w:val="1"/>
      <w:numFmt w:val="lowerLetter"/>
      <w:lvlText w:val="%5)"/>
      <w:lvlJc w:val="left"/>
      <w:pPr>
        <w:ind w:left="2328" w:hanging="420"/>
      </w:pPr>
    </w:lvl>
    <w:lvl w:ilvl="5" w:tentative="0">
      <w:start w:val="1"/>
      <w:numFmt w:val="lowerRoman"/>
      <w:lvlText w:val="%6."/>
      <w:lvlJc w:val="right"/>
      <w:pPr>
        <w:ind w:left="2748" w:hanging="420"/>
      </w:pPr>
    </w:lvl>
    <w:lvl w:ilvl="6" w:tentative="0">
      <w:start w:val="1"/>
      <w:numFmt w:val="decimal"/>
      <w:lvlText w:val="%7."/>
      <w:lvlJc w:val="left"/>
      <w:pPr>
        <w:ind w:left="3168" w:hanging="420"/>
      </w:pPr>
    </w:lvl>
    <w:lvl w:ilvl="7" w:tentative="0">
      <w:start w:val="1"/>
      <w:numFmt w:val="lowerLetter"/>
      <w:lvlText w:val="%8)"/>
      <w:lvlJc w:val="left"/>
      <w:pPr>
        <w:ind w:left="3588" w:hanging="420"/>
      </w:pPr>
    </w:lvl>
    <w:lvl w:ilvl="8" w:tentative="0">
      <w:start w:val="1"/>
      <w:numFmt w:val="lowerRoman"/>
      <w:lvlText w:val="%9."/>
      <w:lvlJc w:val="right"/>
      <w:pPr>
        <w:ind w:left="400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78"/>
    <w:rsid w:val="00013EBC"/>
    <w:rsid w:val="00052F48"/>
    <w:rsid w:val="0006689A"/>
    <w:rsid w:val="00084673"/>
    <w:rsid w:val="000865D9"/>
    <w:rsid w:val="000B4152"/>
    <w:rsid w:val="000D1512"/>
    <w:rsid w:val="00121A28"/>
    <w:rsid w:val="00135A38"/>
    <w:rsid w:val="001360D6"/>
    <w:rsid w:val="00160D18"/>
    <w:rsid w:val="00173DE0"/>
    <w:rsid w:val="00180021"/>
    <w:rsid w:val="00185CF4"/>
    <w:rsid w:val="00186616"/>
    <w:rsid w:val="0018792A"/>
    <w:rsid w:val="0019203D"/>
    <w:rsid w:val="001D4D2C"/>
    <w:rsid w:val="001D7926"/>
    <w:rsid w:val="002210EF"/>
    <w:rsid w:val="00243CA6"/>
    <w:rsid w:val="002A763F"/>
    <w:rsid w:val="002A77C5"/>
    <w:rsid w:val="002C45E0"/>
    <w:rsid w:val="002F5DB3"/>
    <w:rsid w:val="003015ED"/>
    <w:rsid w:val="003105C0"/>
    <w:rsid w:val="00335977"/>
    <w:rsid w:val="00355FF7"/>
    <w:rsid w:val="0038327D"/>
    <w:rsid w:val="00392553"/>
    <w:rsid w:val="003A1793"/>
    <w:rsid w:val="003C1875"/>
    <w:rsid w:val="003C1AE3"/>
    <w:rsid w:val="003C7555"/>
    <w:rsid w:val="003D46F5"/>
    <w:rsid w:val="003E1EAA"/>
    <w:rsid w:val="00403422"/>
    <w:rsid w:val="0042270F"/>
    <w:rsid w:val="00427984"/>
    <w:rsid w:val="00445B61"/>
    <w:rsid w:val="00462BF7"/>
    <w:rsid w:val="004A489E"/>
    <w:rsid w:val="004B24B0"/>
    <w:rsid w:val="004B6A4E"/>
    <w:rsid w:val="00510EF0"/>
    <w:rsid w:val="0058303E"/>
    <w:rsid w:val="005928A5"/>
    <w:rsid w:val="00596FBA"/>
    <w:rsid w:val="005C2247"/>
    <w:rsid w:val="00603BA9"/>
    <w:rsid w:val="00626B58"/>
    <w:rsid w:val="00642231"/>
    <w:rsid w:val="00652C1A"/>
    <w:rsid w:val="00655A52"/>
    <w:rsid w:val="00672352"/>
    <w:rsid w:val="00684C7A"/>
    <w:rsid w:val="006B23BB"/>
    <w:rsid w:val="00703139"/>
    <w:rsid w:val="0070346B"/>
    <w:rsid w:val="00754836"/>
    <w:rsid w:val="007559C3"/>
    <w:rsid w:val="0077351E"/>
    <w:rsid w:val="00783817"/>
    <w:rsid w:val="007A0F83"/>
    <w:rsid w:val="007C11ED"/>
    <w:rsid w:val="007E5BE3"/>
    <w:rsid w:val="00813BCD"/>
    <w:rsid w:val="00836B8F"/>
    <w:rsid w:val="0084421B"/>
    <w:rsid w:val="008709C2"/>
    <w:rsid w:val="008E56BC"/>
    <w:rsid w:val="008E65C4"/>
    <w:rsid w:val="00901D43"/>
    <w:rsid w:val="0094099E"/>
    <w:rsid w:val="00941697"/>
    <w:rsid w:val="00942D49"/>
    <w:rsid w:val="009A2454"/>
    <w:rsid w:val="009B2582"/>
    <w:rsid w:val="009D7B78"/>
    <w:rsid w:val="009F6609"/>
    <w:rsid w:val="00A02C6C"/>
    <w:rsid w:val="00A2028B"/>
    <w:rsid w:val="00A24033"/>
    <w:rsid w:val="00A26C5B"/>
    <w:rsid w:val="00A331AE"/>
    <w:rsid w:val="00A37349"/>
    <w:rsid w:val="00A90EBF"/>
    <w:rsid w:val="00AC111E"/>
    <w:rsid w:val="00B3723C"/>
    <w:rsid w:val="00B4087E"/>
    <w:rsid w:val="00B66561"/>
    <w:rsid w:val="00B87C38"/>
    <w:rsid w:val="00B926D7"/>
    <w:rsid w:val="00BA068A"/>
    <w:rsid w:val="00BA157F"/>
    <w:rsid w:val="00BA3773"/>
    <w:rsid w:val="00BC5CCF"/>
    <w:rsid w:val="00C13911"/>
    <w:rsid w:val="00C72A98"/>
    <w:rsid w:val="00C80A07"/>
    <w:rsid w:val="00C92BD2"/>
    <w:rsid w:val="00CD6013"/>
    <w:rsid w:val="00CF5C8A"/>
    <w:rsid w:val="00CF64E1"/>
    <w:rsid w:val="00D06BF4"/>
    <w:rsid w:val="00D15CA4"/>
    <w:rsid w:val="00D241DF"/>
    <w:rsid w:val="00D444B4"/>
    <w:rsid w:val="00D47C45"/>
    <w:rsid w:val="00D51289"/>
    <w:rsid w:val="00D9687E"/>
    <w:rsid w:val="00DC4B9D"/>
    <w:rsid w:val="00E00074"/>
    <w:rsid w:val="00E017C8"/>
    <w:rsid w:val="00E10948"/>
    <w:rsid w:val="00E2135E"/>
    <w:rsid w:val="00E453A0"/>
    <w:rsid w:val="00E53B10"/>
    <w:rsid w:val="00E76C0E"/>
    <w:rsid w:val="00E90923"/>
    <w:rsid w:val="00EC0503"/>
    <w:rsid w:val="00F420AC"/>
    <w:rsid w:val="00F81D16"/>
    <w:rsid w:val="00FA3510"/>
    <w:rsid w:val="00FC0A86"/>
    <w:rsid w:val="00FC3315"/>
    <w:rsid w:val="00FD2528"/>
    <w:rsid w:val="00FD502A"/>
    <w:rsid w:val="00FE4C27"/>
    <w:rsid w:val="02F45E67"/>
    <w:rsid w:val="036D482C"/>
    <w:rsid w:val="03864D68"/>
    <w:rsid w:val="06B40F8F"/>
    <w:rsid w:val="0B591E2E"/>
    <w:rsid w:val="0B904506"/>
    <w:rsid w:val="0F924E67"/>
    <w:rsid w:val="10655CF3"/>
    <w:rsid w:val="133F7438"/>
    <w:rsid w:val="18DF76AD"/>
    <w:rsid w:val="19024013"/>
    <w:rsid w:val="1C9B12FC"/>
    <w:rsid w:val="1F730AA4"/>
    <w:rsid w:val="2C55584A"/>
    <w:rsid w:val="2C6B57F0"/>
    <w:rsid w:val="2D901D4F"/>
    <w:rsid w:val="2E6A74B4"/>
    <w:rsid w:val="2EFF3BF7"/>
    <w:rsid w:val="349C315B"/>
    <w:rsid w:val="373B05AC"/>
    <w:rsid w:val="3DAE0540"/>
    <w:rsid w:val="3FC06CA7"/>
    <w:rsid w:val="41321107"/>
    <w:rsid w:val="414E1341"/>
    <w:rsid w:val="42F06ADE"/>
    <w:rsid w:val="431B31A5"/>
    <w:rsid w:val="44D74780"/>
    <w:rsid w:val="4DEA5F62"/>
    <w:rsid w:val="52121BB5"/>
    <w:rsid w:val="54DF2FCC"/>
    <w:rsid w:val="584E3BED"/>
    <w:rsid w:val="5ACE5D30"/>
    <w:rsid w:val="5B7C3DA5"/>
    <w:rsid w:val="5E7C7D30"/>
    <w:rsid w:val="5E8764BE"/>
    <w:rsid w:val="618C1A96"/>
    <w:rsid w:val="637F5749"/>
    <w:rsid w:val="652C40D4"/>
    <w:rsid w:val="66782EA9"/>
    <w:rsid w:val="67706CC4"/>
    <w:rsid w:val="6A9E6E7B"/>
    <w:rsid w:val="6C5164C2"/>
    <w:rsid w:val="71BE49AA"/>
    <w:rsid w:val="724C7A91"/>
    <w:rsid w:val="791E09E7"/>
    <w:rsid w:val="7AB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paragraph" w:customStyle="1" w:styleId="10">
    <w:name w:val="默认段落字体 Para Char"/>
    <w:basedOn w:val="1"/>
    <w:uiPriority w:val="0"/>
    <w:pPr>
      <w:spacing w:before="50" w:beforeLines="50" w:after="50" w:afterLines="50"/>
      <w:jc w:val="left"/>
    </w:pPr>
    <w:rPr>
      <w:sz w:val="30"/>
      <w:szCs w:val="32"/>
    </w:rPr>
  </w:style>
  <w:style w:type="paragraph" w:customStyle="1" w:styleId="11">
    <w:name w:val="Char"/>
    <w:basedOn w:val="1"/>
    <w:uiPriority w:val="0"/>
    <w:pPr>
      <w:widowControl/>
      <w:spacing w:after="160" w:line="240" w:lineRule="exact"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yjsc</Company>
  <Pages>1</Pages>
  <Words>565</Words>
  <Characters>592</Characters>
  <Lines>4</Lines>
  <Paragraphs>1</Paragraphs>
  <TotalTime>17</TotalTime>
  <ScaleCrop>false</ScaleCrop>
  <LinksUpToDate>false</LinksUpToDate>
  <CharactersWithSpaces>623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2024-08-26T11:40:00Z</dcterms:created>
  <dc:creator>lp</dc:creator>
  <cp:lastModifiedBy>冯彦</cp:lastModifiedBy>
  <cp:lastPrinted>2015-04-29T02:24:00Z</cp:lastPrinted>
  <dcterms:modified xsi:type="dcterms:W3CDTF">2025-06-13T03:18:02Z</dcterms:modified>
  <dc:title>安徽农业大学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MTWinEqns">
    <vt:bool>true</vt:bool>
  </property>
  <property fmtid="{D5CDD505-2E9C-101B-9397-08002B2CF9AE}" pid="4" name="KSOTemplateDocerSaveRecord">
    <vt:lpwstr>eyJoZGlkIjoiOTNjOGQyZjU1ZDNiYzM0YWMzOTgzZjhhNTY5MzEzZTQiLCJ1c2VySWQiOiIxNzA2MTQ4NTIxIn0=</vt:lpwstr>
  </property>
  <property fmtid="{D5CDD505-2E9C-101B-9397-08002B2CF9AE}" pid="5" name="ICV">
    <vt:lpwstr>B2793E64300F4AC29DEFC079EE0CD5B4_12</vt:lpwstr>
  </property>
</Properties>
</file>