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after="156" w:afterLines="50"/>
        <w:ind w:firstLine="480"/>
        <w:jc w:val="center"/>
        <w:outlineLvl w:val="2"/>
        <w:rPr>
          <w:rFonts w:hint="eastAsia"/>
          <w:b/>
          <w:color w:val="323232"/>
          <w:sz w:val="32"/>
          <w:szCs w:val="32"/>
        </w:rPr>
      </w:pPr>
      <w:r>
        <w:rPr>
          <w:rFonts w:hint="eastAsia"/>
          <w:b/>
          <w:color w:val="323232"/>
          <w:sz w:val="32"/>
          <w:szCs w:val="32"/>
          <w:u w:val="single"/>
        </w:rPr>
        <w:t xml:space="preserve"> 数学 </w:t>
      </w:r>
      <w:r>
        <w:rPr>
          <w:rFonts w:hint="eastAsia"/>
          <w:b/>
          <w:color w:val="323232"/>
          <w:sz w:val="32"/>
          <w:szCs w:val="32"/>
          <w:u w:val="none"/>
          <w:lang w:eastAsia="zh-CN"/>
        </w:rPr>
        <w:t>学科</w:t>
      </w:r>
      <w:r>
        <w:rPr>
          <w:rFonts w:hint="eastAsia"/>
          <w:b/>
          <w:color w:val="323232"/>
          <w:sz w:val="32"/>
          <w:szCs w:val="32"/>
        </w:rPr>
        <w:t>硕士研究生培养方案</w:t>
      </w:r>
    </w:p>
    <w:p>
      <w:pPr>
        <w:widowControl/>
        <w:shd w:val="clear" w:color="auto" w:fill="FFFFFF"/>
        <w:spacing w:before="156" w:beforeLines="50" w:after="156" w:afterLines="50"/>
        <w:jc w:val="center"/>
        <w:outlineLvl w:val="2"/>
        <w:rPr>
          <w:rFonts w:hint="eastAsia"/>
          <w:b/>
          <w:color w:val="323232"/>
          <w:sz w:val="32"/>
          <w:szCs w:val="32"/>
          <w:u w:val="single"/>
        </w:rPr>
      </w:pPr>
      <w:r>
        <w:rPr>
          <w:rFonts w:hint="eastAsia"/>
          <w:b/>
          <w:color w:val="323232"/>
          <w:sz w:val="32"/>
          <w:szCs w:val="32"/>
          <w:lang w:eastAsia="zh-CN"/>
        </w:rPr>
        <w:t>学科</w:t>
      </w:r>
      <w:r>
        <w:rPr>
          <w:b/>
          <w:color w:val="323232"/>
          <w:sz w:val="32"/>
          <w:szCs w:val="32"/>
        </w:rPr>
        <w:t>代码：</w:t>
      </w:r>
      <w:r>
        <w:rPr>
          <w:b/>
          <w:color w:val="323232"/>
          <w:sz w:val="32"/>
          <w:szCs w:val="32"/>
          <w:u w:val="single"/>
        </w:rPr>
        <w:t xml:space="preserve"> </w:t>
      </w:r>
      <w:r>
        <w:rPr>
          <w:rFonts w:hint="eastAsia"/>
          <w:b/>
          <w:color w:val="323232"/>
          <w:sz w:val="32"/>
          <w:szCs w:val="32"/>
          <w:u w:val="single"/>
        </w:rPr>
        <w:t xml:space="preserve">0701 </w:t>
      </w:r>
    </w:p>
    <w:p>
      <w:pPr>
        <w:widowControl/>
        <w:shd w:val="clear" w:color="auto" w:fill="FFFFFF"/>
        <w:spacing w:before="156" w:beforeLines="50" w:after="156" w:afterLines="50"/>
        <w:jc w:val="both"/>
        <w:outlineLvl w:val="2"/>
        <w:rPr>
          <w:rFonts w:hint="eastAsia" w:eastAsiaTheme="minorEastAsia"/>
          <w:b/>
          <w:color w:val="323232"/>
          <w:sz w:val="18"/>
          <w:szCs w:val="18"/>
          <w:u w:val="singl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hAnsi="宋体"/>
          <w:b/>
          <w:color w:val="323232"/>
          <w:sz w:val="24"/>
          <w:szCs w:val="24"/>
        </w:rPr>
      </w:pPr>
      <w:r>
        <w:rPr>
          <w:rFonts w:hint="eastAsia" w:hAnsi="宋体"/>
          <w:b/>
          <w:color w:val="323232"/>
          <w:sz w:val="24"/>
          <w:szCs w:val="24"/>
        </w:rPr>
        <w:t>一、培养目标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培养适应我国社会主义建设需要，德、智、体全面发展的具有创新精神的能应用本学科理论、方法从事科学研究、处理和解决实际问题的高级专业人才。具体要求如下：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1.较好的掌握马列主义、毛泽东思想、邓小平理论、“三个代表”重要思想和科学发展观；热爱祖国，遵纪守法，品行端正，身心健康；具有严谨的治学态度，团结合作的精神，高尚的科研道德和为社会主义现代化建设艰苦奋斗的奉献精神。</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2.掌握本门学科坚实的理论基础和系统的专业知识及必要的实践技能；具有从事科学研究、教学工作或独立担负专门技术工作的能力；了解本门学科的发展现状和动向，具有严谨的科学作风。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3.熟练掌握一门外国语，能阅读本专业该语种的外文资料，并能撰写论文。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4.身心健康。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hAnsi="宋体"/>
          <w:b/>
          <w:color w:val="323232"/>
          <w:sz w:val="24"/>
          <w:szCs w:val="24"/>
        </w:rPr>
      </w:pPr>
      <w:r>
        <w:rPr>
          <w:rFonts w:hint="eastAsia" w:hAnsi="宋体"/>
          <w:b/>
          <w:color w:val="323232"/>
          <w:sz w:val="24"/>
          <w:szCs w:val="24"/>
        </w:rPr>
        <w:t>二、研究方向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1.</w:t>
      </w:r>
      <w:r>
        <w:rPr>
          <w:rFonts w:hint="eastAsia" w:hAnsi="宋体"/>
          <w:color w:val="323232"/>
          <w:sz w:val="24"/>
          <w:szCs w:val="24"/>
          <w:lang w:eastAsia="zh-CN"/>
        </w:rPr>
        <w:t>代</w:t>
      </w:r>
      <w:r>
        <w:rPr>
          <w:rFonts w:hint="eastAsia" w:hAnsi="宋体"/>
          <w:color w:val="323232"/>
          <w:sz w:val="24"/>
          <w:szCs w:val="24"/>
        </w:rPr>
        <w:t>数与组合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2.</w:t>
      </w:r>
      <w:r>
        <w:rPr>
          <w:rFonts w:hint="eastAsia" w:hAnsi="宋体"/>
          <w:color w:val="323232"/>
          <w:sz w:val="24"/>
          <w:szCs w:val="24"/>
          <w:lang w:eastAsia="zh-CN"/>
        </w:rPr>
        <w:t>偏</w:t>
      </w:r>
      <w:r>
        <w:rPr>
          <w:rFonts w:hint="eastAsia" w:hAnsi="宋体"/>
          <w:color w:val="323232"/>
          <w:sz w:val="24"/>
          <w:szCs w:val="24"/>
        </w:rPr>
        <w:t>微分方程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3.</w:t>
      </w:r>
      <w:r>
        <w:rPr>
          <w:rFonts w:hint="eastAsia" w:hAnsi="宋体"/>
          <w:color w:val="323232"/>
          <w:sz w:val="24"/>
          <w:szCs w:val="24"/>
          <w:lang w:eastAsia="zh-CN"/>
        </w:rPr>
        <w:t>运</w:t>
      </w:r>
      <w:r>
        <w:rPr>
          <w:rFonts w:hint="eastAsia" w:hAnsi="宋体"/>
          <w:color w:val="323232"/>
          <w:sz w:val="24"/>
          <w:szCs w:val="24"/>
        </w:rPr>
        <w:t>筹与控制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4.</w:t>
      </w:r>
      <w:r>
        <w:rPr>
          <w:rFonts w:hint="eastAsia" w:hAnsi="宋体"/>
          <w:color w:val="323232"/>
          <w:sz w:val="24"/>
          <w:szCs w:val="24"/>
          <w:lang w:eastAsia="zh-CN"/>
        </w:rPr>
        <w:t>分</w:t>
      </w:r>
      <w:r>
        <w:rPr>
          <w:rFonts w:hint="eastAsia" w:hAnsi="宋体"/>
          <w:color w:val="323232"/>
          <w:sz w:val="24"/>
          <w:szCs w:val="24"/>
        </w:rPr>
        <w:t>析理论及其应用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eastAsiaTheme="minorEastAsia"/>
          <w:color w:val="323232"/>
          <w:sz w:val="24"/>
          <w:szCs w:val="24"/>
          <w:lang w:val="en-US" w:eastAsia="zh-CN"/>
        </w:rPr>
      </w:pPr>
      <w:r>
        <w:rPr>
          <w:rFonts w:hint="eastAsia" w:hAnsi="宋体"/>
          <w:color w:val="323232"/>
          <w:sz w:val="24"/>
          <w:szCs w:val="24"/>
          <w:lang w:val="en-US" w:eastAsia="zh-CN"/>
        </w:rPr>
        <w:t>5</w:t>
      </w:r>
      <w:r>
        <w:rPr>
          <w:rFonts w:hint="eastAsia" w:hAnsi="宋体"/>
          <w:color w:val="323232"/>
          <w:sz w:val="24"/>
          <w:szCs w:val="24"/>
        </w:rPr>
        <w:t>.</w:t>
      </w:r>
      <w:r>
        <w:rPr>
          <w:rFonts w:hint="eastAsia" w:hAnsi="宋体"/>
          <w:color w:val="323232"/>
          <w:sz w:val="24"/>
          <w:szCs w:val="24"/>
          <w:lang w:val="en-US" w:eastAsia="zh-CN"/>
        </w:rPr>
        <w:t>统计及其应用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eastAsiaTheme="minorEastAsia"/>
          <w:color w:val="323232"/>
          <w:sz w:val="24"/>
          <w:szCs w:val="24"/>
          <w:lang w:val="en-US" w:eastAsia="zh-CN"/>
        </w:rPr>
      </w:pPr>
      <w:r>
        <w:rPr>
          <w:rFonts w:hint="eastAsia" w:hAnsi="宋体"/>
          <w:color w:val="323232"/>
          <w:sz w:val="24"/>
          <w:szCs w:val="24"/>
          <w:lang w:val="en-US" w:eastAsia="zh-CN"/>
        </w:rPr>
        <w:t>6</w:t>
      </w:r>
      <w:r>
        <w:rPr>
          <w:rFonts w:hint="eastAsia" w:hAnsi="宋体"/>
          <w:color w:val="323232"/>
          <w:sz w:val="24"/>
          <w:szCs w:val="24"/>
        </w:rPr>
        <w:t>.</w:t>
      </w:r>
      <w:bookmarkStart w:id="0" w:name="_GoBack"/>
      <w:bookmarkEnd w:id="0"/>
      <w:r>
        <w:rPr>
          <w:rFonts w:hint="eastAsia" w:hAnsi="宋体"/>
          <w:color w:val="323232"/>
          <w:sz w:val="24"/>
          <w:szCs w:val="24"/>
          <w:lang w:val="en-US" w:eastAsia="zh-CN"/>
        </w:rPr>
        <w:t>最优化理论及其应用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hAnsi="宋体"/>
          <w:b/>
          <w:color w:val="323232"/>
          <w:sz w:val="24"/>
          <w:szCs w:val="24"/>
        </w:rPr>
      </w:pPr>
      <w:r>
        <w:rPr>
          <w:rFonts w:hint="eastAsia" w:hAnsi="宋体"/>
          <w:b/>
          <w:color w:val="323232"/>
          <w:sz w:val="24"/>
          <w:szCs w:val="24"/>
        </w:rPr>
        <w:t>三、学习年限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硕士研究生学习年限不低于3年</w:t>
      </w:r>
      <w:r>
        <w:rPr>
          <w:rFonts w:hint="eastAsia" w:hAnsi="宋体"/>
          <w:color w:val="323232"/>
          <w:sz w:val="24"/>
          <w:szCs w:val="24"/>
        </w:rPr>
        <w:t>。</w:t>
      </w:r>
      <w:r>
        <w:rPr>
          <w:rFonts w:hAnsi="宋体"/>
          <w:color w:val="323232"/>
          <w:sz w:val="24"/>
          <w:szCs w:val="24"/>
        </w:rPr>
        <w:t>硕士研究生提前修完培养方案中规定的全部课程、学分，成绩</w:t>
      </w:r>
      <w:r>
        <w:rPr>
          <w:rFonts w:hint="eastAsia" w:hAnsi="宋体"/>
          <w:color w:val="323232"/>
          <w:sz w:val="24"/>
          <w:szCs w:val="24"/>
        </w:rPr>
        <w:t>优良</w:t>
      </w:r>
      <w:r>
        <w:rPr>
          <w:rFonts w:hAnsi="宋体"/>
          <w:color w:val="323232"/>
          <w:sz w:val="24"/>
          <w:szCs w:val="24"/>
        </w:rPr>
        <w:t>，并在科研工作中</w:t>
      </w:r>
      <w:r>
        <w:rPr>
          <w:rFonts w:hint="eastAsia" w:hAnsi="宋体"/>
          <w:color w:val="323232"/>
          <w:sz w:val="24"/>
          <w:szCs w:val="24"/>
        </w:rPr>
        <w:t>有特出表现</w:t>
      </w:r>
      <w:r>
        <w:rPr>
          <w:rFonts w:hAnsi="宋体"/>
          <w:color w:val="323232"/>
          <w:sz w:val="24"/>
          <w:szCs w:val="24"/>
        </w:rPr>
        <w:t>的，可</w:t>
      </w:r>
      <w:r>
        <w:rPr>
          <w:rFonts w:hint="eastAsia" w:hAnsi="宋体"/>
          <w:color w:val="323232"/>
          <w:sz w:val="24"/>
          <w:szCs w:val="24"/>
        </w:rPr>
        <w:t>申请</w:t>
      </w:r>
      <w:r>
        <w:rPr>
          <w:rFonts w:hAnsi="宋体"/>
          <w:color w:val="323232"/>
          <w:sz w:val="24"/>
          <w:szCs w:val="24"/>
        </w:rPr>
        <w:t>提前进行学位论文答辩和提前毕业</w:t>
      </w:r>
      <w:r>
        <w:rPr>
          <w:rFonts w:hint="eastAsia" w:hAnsi="宋体"/>
          <w:color w:val="323232"/>
          <w:sz w:val="24"/>
          <w:szCs w:val="24"/>
        </w:rPr>
        <w:t>，</w:t>
      </w:r>
      <w:r>
        <w:rPr>
          <w:rFonts w:hAnsi="宋体"/>
          <w:color w:val="323232"/>
          <w:sz w:val="24"/>
          <w:szCs w:val="24"/>
        </w:rPr>
        <w:t>但</w:t>
      </w:r>
      <w:r>
        <w:rPr>
          <w:rFonts w:hint="eastAsia" w:hAnsi="宋体"/>
          <w:color w:val="323232"/>
          <w:sz w:val="24"/>
          <w:szCs w:val="24"/>
        </w:rPr>
        <w:t>在校时间不得少于2</w:t>
      </w:r>
      <w:r>
        <w:rPr>
          <w:rFonts w:hAnsi="宋体"/>
          <w:color w:val="323232"/>
          <w:sz w:val="24"/>
          <w:szCs w:val="24"/>
        </w:rPr>
        <w:t>学年。</w:t>
      </w:r>
      <w:r>
        <w:rPr>
          <w:rFonts w:hint="eastAsia" w:hAnsi="宋体"/>
          <w:color w:val="323232"/>
          <w:sz w:val="24"/>
          <w:szCs w:val="24"/>
        </w:rPr>
        <w:t>最长学习年限为学校允许注册研究生在校学习的最长期限。硕士研究生最长学习年限不超过五年（含休学时间）。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hAnsi="宋体"/>
          <w:b/>
          <w:color w:val="323232"/>
          <w:sz w:val="24"/>
          <w:szCs w:val="24"/>
        </w:rPr>
      </w:pPr>
      <w:r>
        <w:rPr>
          <w:rFonts w:hint="eastAsia" w:hAnsi="宋体"/>
          <w:b/>
          <w:color w:val="323232"/>
          <w:sz w:val="24"/>
          <w:szCs w:val="24"/>
        </w:rPr>
        <w:t>四、课程设置与学分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研究生课程分为学位课程、非学位课程和补修课程三类。学位课程分为全校公共课</w:t>
      </w:r>
      <w:r>
        <w:rPr>
          <w:rFonts w:hint="eastAsia" w:hAnsi="宋体"/>
          <w:color w:val="323232"/>
          <w:sz w:val="24"/>
          <w:szCs w:val="24"/>
        </w:rPr>
        <w:t>程</w:t>
      </w:r>
      <w:r>
        <w:rPr>
          <w:rFonts w:hAnsi="宋体"/>
          <w:color w:val="323232"/>
          <w:sz w:val="24"/>
          <w:szCs w:val="24"/>
        </w:rPr>
        <w:t>、专业基础课程与专业课程</w:t>
      </w:r>
      <w:r>
        <w:rPr>
          <w:rFonts w:hint="eastAsia" w:hAnsi="宋体"/>
          <w:color w:val="323232"/>
          <w:sz w:val="24"/>
          <w:szCs w:val="24"/>
          <w:lang w:eastAsia="zh-CN"/>
        </w:rPr>
        <w:t>三</w:t>
      </w:r>
      <w:r>
        <w:rPr>
          <w:rFonts w:hAnsi="宋体"/>
          <w:color w:val="323232"/>
          <w:sz w:val="24"/>
          <w:szCs w:val="24"/>
        </w:rPr>
        <w:t>类。学位课程为必修课，非学位课程为选修课。应补修而未补修或者补修成绩不合格者不能参加学位论文答辩，补修课程不单独记学分。各课程教学实行学分制，每学分一般对应</w:t>
      </w:r>
      <w:r>
        <w:rPr>
          <w:color w:val="323232"/>
          <w:sz w:val="24"/>
          <w:szCs w:val="24"/>
        </w:rPr>
        <w:t>18</w:t>
      </w:r>
      <w:r>
        <w:rPr>
          <w:rFonts w:hAnsi="宋体"/>
          <w:color w:val="323232"/>
          <w:sz w:val="24"/>
          <w:szCs w:val="24"/>
        </w:rPr>
        <w:t>学时，每门课程原则上不超过</w:t>
      </w:r>
      <w:r>
        <w:rPr>
          <w:color w:val="323232"/>
          <w:sz w:val="24"/>
          <w:szCs w:val="24"/>
        </w:rPr>
        <w:t>3</w:t>
      </w:r>
      <w:r>
        <w:rPr>
          <w:rFonts w:hAnsi="宋体"/>
          <w:color w:val="323232"/>
          <w:sz w:val="24"/>
          <w:szCs w:val="24"/>
        </w:rPr>
        <w:t>学分，</w:t>
      </w:r>
      <w:r>
        <w:rPr>
          <w:rFonts w:hint="eastAsia" w:hAnsi="宋体"/>
          <w:color w:val="323232"/>
          <w:sz w:val="24"/>
          <w:szCs w:val="24"/>
          <w:lang w:eastAsia="zh-CN"/>
        </w:rPr>
        <w:t>实践</w:t>
      </w:r>
      <w:r>
        <w:rPr>
          <w:rFonts w:hAnsi="宋体"/>
          <w:color w:val="323232"/>
          <w:sz w:val="24"/>
          <w:szCs w:val="24"/>
        </w:rPr>
        <w:t>课的学分数均按课内学时数的</w:t>
      </w:r>
      <w:r>
        <w:rPr>
          <w:color w:val="323232"/>
          <w:sz w:val="24"/>
          <w:szCs w:val="24"/>
        </w:rPr>
        <w:t>1/2</w:t>
      </w:r>
      <w:r>
        <w:rPr>
          <w:rFonts w:hAnsi="宋体"/>
          <w:color w:val="323232"/>
          <w:sz w:val="24"/>
          <w:szCs w:val="24"/>
        </w:rPr>
        <w:t>计算。硕士研究生课程学习的总学分应不少于</w:t>
      </w:r>
      <w:r>
        <w:rPr>
          <w:rFonts w:hint="eastAsia"/>
          <w:color w:val="323232"/>
          <w:sz w:val="24"/>
          <w:szCs w:val="24"/>
        </w:rPr>
        <w:t>32</w:t>
      </w:r>
      <w:r>
        <w:rPr>
          <w:rFonts w:hAnsi="宋体"/>
          <w:color w:val="323232"/>
          <w:sz w:val="24"/>
          <w:szCs w:val="24"/>
        </w:rPr>
        <w:t>学分，其中学位课程不少</w:t>
      </w:r>
      <w:r>
        <w:rPr>
          <w:rFonts w:hint="eastAsia" w:hAnsi="宋体"/>
          <w:color w:val="323232"/>
          <w:sz w:val="24"/>
          <w:szCs w:val="24"/>
        </w:rPr>
        <w:t>于</w:t>
      </w:r>
      <w:r>
        <w:rPr>
          <w:rFonts w:hint="eastAsia"/>
          <w:color w:val="323232"/>
          <w:sz w:val="24"/>
          <w:szCs w:val="24"/>
        </w:rPr>
        <w:t>18</w:t>
      </w:r>
      <w:r>
        <w:rPr>
          <w:rFonts w:hAnsi="宋体"/>
          <w:color w:val="323232"/>
          <w:sz w:val="24"/>
          <w:szCs w:val="24"/>
        </w:rPr>
        <w:t>学分。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sz w:val="24"/>
          <w:szCs w:val="24"/>
        </w:rPr>
      </w:pPr>
      <w:r>
        <w:rPr>
          <w:rFonts w:hint="eastAsia" w:hAnsi="宋体"/>
          <w:color w:val="323232"/>
          <w:sz w:val="24"/>
          <w:szCs w:val="24"/>
        </w:rPr>
        <w:t>具体课程设置见附表。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hAnsi="宋体"/>
          <w:b/>
          <w:color w:val="323232"/>
          <w:sz w:val="24"/>
          <w:szCs w:val="24"/>
        </w:rPr>
      </w:pPr>
      <w:r>
        <w:rPr>
          <w:rFonts w:hint="eastAsia" w:hAnsi="宋体"/>
          <w:b/>
          <w:color w:val="323232"/>
          <w:sz w:val="24"/>
          <w:szCs w:val="24"/>
        </w:rPr>
        <w:t>五、学位论文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1</w:t>
      </w:r>
      <w:r>
        <w:rPr>
          <w:rFonts w:hint="eastAsia" w:hAnsi="宋体"/>
          <w:color w:val="323232"/>
          <w:sz w:val="24"/>
          <w:szCs w:val="24"/>
        </w:rPr>
        <w:t>.学位论文工作的基本要求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学位论文是研究生培养工作的重要环节，要注意文献查阅及综述、选题、论文写作与表达能力等诸方面的培养，尤其是其独立工作能力和创</w:t>
      </w:r>
      <w:r>
        <w:rPr>
          <w:rFonts w:hAnsi="宋体"/>
          <w:color w:val="323232"/>
          <w:sz w:val="24"/>
          <w:szCs w:val="24"/>
        </w:rPr>
        <w:t>新</w:t>
      </w:r>
      <w:r>
        <w:rPr>
          <w:rFonts w:hint="eastAsia" w:hAnsi="宋体"/>
          <w:color w:val="323232"/>
          <w:sz w:val="24"/>
          <w:szCs w:val="24"/>
        </w:rPr>
        <w:t>能力的培养；并注意培养研究生实事求是的工作作风和严谨踏实的治学态度。学位论文必须在导师指导下由硕士研究生本人独立完成。</w:t>
      </w:r>
      <w:r>
        <w:rPr>
          <w:rFonts w:hAnsi="宋体"/>
          <w:color w:val="323232"/>
          <w:sz w:val="24"/>
          <w:szCs w:val="24"/>
        </w:rPr>
        <w:t>学位论文</w:t>
      </w:r>
      <w:r>
        <w:rPr>
          <w:rFonts w:hint="eastAsia" w:hAnsi="宋体"/>
          <w:color w:val="323232"/>
          <w:sz w:val="24"/>
          <w:szCs w:val="24"/>
        </w:rPr>
        <w:t>的书写必须符合南通大学</w:t>
      </w:r>
      <w:r>
        <w:rPr>
          <w:rFonts w:hAnsi="宋体"/>
          <w:color w:val="323232"/>
          <w:sz w:val="24"/>
          <w:szCs w:val="24"/>
        </w:rPr>
        <w:t>研究生</w:t>
      </w:r>
      <w:r>
        <w:rPr>
          <w:rFonts w:hint="eastAsia" w:hAnsi="宋体"/>
          <w:color w:val="323232"/>
          <w:sz w:val="24"/>
          <w:szCs w:val="24"/>
        </w:rPr>
        <w:t>学位</w:t>
      </w:r>
      <w:r>
        <w:rPr>
          <w:rFonts w:hAnsi="宋体"/>
          <w:color w:val="323232"/>
          <w:sz w:val="24"/>
          <w:szCs w:val="24"/>
        </w:rPr>
        <w:t>论文工作的有关规定</w:t>
      </w:r>
      <w:r>
        <w:rPr>
          <w:rFonts w:hint="eastAsia" w:hAnsi="宋体"/>
          <w:color w:val="323232"/>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2</w:t>
      </w:r>
      <w:r>
        <w:rPr>
          <w:rFonts w:hint="eastAsia" w:hAnsi="宋体"/>
          <w:color w:val="323232"/>
          <w:sz w:val="24"/>
          <w:szCs w:val="24"/>
        </w:rPr>
        <w:t>.论文选题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在查阅文献、调查研究的基础上，研究生在导师的指导下选定好研究课题。</w:t>
      </w:r>
      <w:r>
        <w:rPr>
          <w:rFonts w:hAnsi="宋体"/>
          <w:color w:val="323232"/>
          <w:sz w:val="24"/>
          <w:szCs w:val="24"/>
        </w:rPr>
        <w:t>学位论文的选题一般应结合本学科的研究方向和</w:t>
      </w:r>
      <w:r>
        <w:rPr>
          <w:rFonts w:hint="eastAsia" w:hAnsi="宋体"/>
          <w:color w:val="323232"/>
          <w:sz w:val="24"/>
          <w:szCs w:val="24"/>
        </w:rPr>
        <w:t>导师所承担的</w:t>
      </w:r>
      <w:r>
        <w:rPr>
          <w:rFonts w:hAnsi="宋体"/>
          <w:color w:val="323232"/>
          <w:sz w:val="24"/>
          <w:szCs w:val="24"/>
        </w:rPr>
        <w:t>科研项目，选择对学科发展具有重要理论意义或现实意义的课题，鼓励选择</w:t>
      </w:r>
      <w:r>
        <w:rPr>
          <w:rFonts w:hint="eastAsia" w:hAnsi="宋体"/>
          <w:color w:val="323232"/>
          <w:sz w:val="24"/>
          <w:szCs w:val="24"/>
        </w:rPr>
        <w:t>与经济建设</w:t>
      </w:r>
      <w:r>
        <w:rPr>
          <w:rFonts w:hAnsi="宋体"/>
          <w:color w:val="323232"/>
          <w:sz w:val="24"/>
          <w:szCs w:val="24"/>
        </w:rPr>
        <w:t>和社会发展</w:t>
      </w:r>
      <w:r>
        <w:rPr>
          <w:rFonts w:hint="eastAsia" w:hAnsi="宋体"/>
          <w:color w:val="323232"/>
          <w:sz w:val="24"/>
          <w:szCs w:val="24"/>
        </w:rPr>
        <w:t>相结合的</w:t>
      </w:r>
      <w:r>
        <w:rPr>
          <w:rFonts w:hAnsi="宋体"/>
          <w:color w:val="323232"/>
          <w:sz w:val="24"/>
          <w:szCs w:val="24"/>
        </w:rPr>
        <w:t>应用型课题，</w:t>
      </w:r>
      <w:r>
        <w:rPr>
          <w:rFonts w:hint="eastAsia" w:hAnsi="宋体"/>
          <w:color w:val="323232"/>
          <w:sz w:val="24"/>
          <w:szCs w:val="24"/>
        </w:rPr>
        <w:t>要求在</w:t>
      </w:r>
      <w:r>
        <w:rPr>
          <w:rFonts w:hAnsi="宋体"/>
          <w:color w:val="323232"/>
          <w:sz w:val="24"/>
          <w:szCs w:val="24"/>
        </w:rPr>
        <w:t>第三学期确定论文</w:t>
      </w:r>
      <w:r>
        <w:rPr>
          <w:rFonts w:hint="eastAsia" w:hAnsi="宋体"/>
          <w:color w:val="323232"/>
          <w:sz w:val="24"/>
          <w:szCs w:val="24"/>
        </w:rPr>
        <w:t>题目</w:t>
      </w:r>
      <w:r>
        <w:rPr>
          <w:rFonts w:hAnsi="宋体"/>
          <w:color w:val="323232"/>
          <w:sz w:val="24"/>
          <w:szCs w:val="24"/>
        </w:rPr>
        <w:t>。确定学位论文工作内容和工作量时应全面考虑硕士研究生的知识结构、工作能力和培养年限等方面的特点。硕士研究生应在导师指导下，有计划地学习、阅读文献和进行必要的调查研究，</w:t>
      </w:r>
      <w:r>
        <w:rPr>
          <w:rFonts w:hint="eastAsia" w:hAnsi="宋体"/>
          <w:color w:val="323232"/>
          <w:sz w:val="24"/>
          <w:szCs w:val="24"/>
        </w:rPr>
        <w:t>完成《研究生学位论文开题报告》，</w:t>
      </w:r>
      <w:r>
        <w:rPr>
          <w:rFonts w:hAnsi="宋体"/>
          <w:color w:val="323232"/>
          <w:sz w:val="24"/>
          <w:szCs w:val="24"/>
        </w:rPr>
        <w:t>经导师审核同意，进行论文开题</w:t>
      </w:r>
      <w:r>
        <w:rPr>
          <w:rFonts w:hint="eastAsia" w:hAnsi="宋体"/>
          <w:color w:val="323232"/>
          <w:sz w:val="24"/>
          <w:szCs w:val="24"/>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3</w:t>
      </w:r>
      <w:r>
        <w:rPr>
          <w:rFonts w:hint="eastAsia" w:hAnsi="宋体"/>
          <w:color w:val="323232"/>
          <w:sz w:val="24"/>
          <w:szCs w:val="24"/>
        </w:rPr>
        <w:t>.开题报告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硕士研究生学位论文开题报告最迟在</w:t>
      </w:r>
      <w:r>
        <w:rPr>
          <w:rFonts w:hAnsi="宋体"/>
          <w:sz w:val="24"/>
          <w:szCs w:val="24"/>
        </w:rPr>
        <w:t>第</w:t>
      </w:r>
      <w:r>
        <w:rPr>
          <w:rFonts w:hint="eastAsia" w:hAnsi="宋体"/>
          <w:sz w:val="24"/>
          <w:szCs w:val="24"/>
        </w:rPr>
        <w:t>三</w:t>
      </w:r>
      <w:r>
        <w:rPr>
          <w:rFonts w:hAnsi="宋体"/>
          <w:sz w:val="24"/>
          <w:szCs w:val="24"/>
        </w:rPr>
        <w:t>学期</w:t>
      </w:r>
      <w:r>
        <w:rPr>
          <w:rFonts w:hint="eastAsia" w:hAnsi="宋体"/>
          <w:sz w:val="24"/>
          <w:szCs w:val="24"/>
        </w:rPr>
        <w:t>末</w:t>
      </w:r>
      <w:r>
        <w:rPr>
          <w:rFonts w:hAnsi="宋体"/>
          <w:sz w:val="24"/>
          <w:szCs w:val="24"/>
        </w:rPr>
        <w:t>完成</w:t>
      </w:r>
      <w:r>
        <w:rPr>
          <w:rFonts w:hAnsi="宋体"/>
          <w:color w:val="323232"/>
          <w:sz w:val="24"/>
          <w:szCs w:val="24"/>
        </w:rPr>
        <w:t>。开题报告的主要内容为：课题来源及研究目的和意义、国内外在该方向的研究现状、拟解决的问题、拟采用的主要理论和方法、资料情况、技术手段、研究方案及工作进度、预计研究过程中可能遇到的困难和问题以及解决的措施、预期研究成果、主要参考文献等</w:t>
      </w:r>
      <w:r>
        <w:rPr>
          <w:rFonts w:hint="eastAsia" w:hAnsi="宋体"/>
          <w:color w:val="323232"/>
          <w:sz w:val="24"/>
          <w:szCs w:val="24"/>
        </w:rPr>
        <w:t>。</w:t>
      </w:r>
      <w:r>
        <w:rPr>
          <w:rFonts w:hAnsi="宋体"/>
          <w:color w:val="323232"/>
          <w:sz w:val="24"/>
          <w:szCs w:val="24"/>
        </w:rPr>
        <w:t>对开题报告的主要要求为：开题报告字数应在5000字左右；阅读的主要参考文献应在</w:t>
      </w:r>
      <w:r>
        <w:rPr>
          <w:rFonts w:hint="eastAsia" w:hAnsi="宋体"/>
          <w:color w:val="323232"/>
          <w:sz w:val="24"/>
          <w:szCs w:val="24"/>
        </w:rPr>
        <w:t>15</w:t>
      </w:r>
      <w:r>
        <w:rPr>
          <w:rFonts w:hAnsi="宋体"/>
          <w:color w:val="323232"/>
          <w:sz w:val="24"/>
          <w:szCs w:val="24"/>
        </w:rPr>
        <w:t>篇以上，其中外文文献应不少于三分之一。开题报告</w:t>
      </w:r>
      <w:r>
        <w:rPr>
          <w:rFonts w:hint="eastAsia" w:hAnsi="宋体"/>
          <w:color w:val="323232"/>
          <w:sz w:val="24"/>
          <w:szCs w:val="24"/>
        </w:rPr>
        <w:t>由院系的统一安排，以数学</w:t>
      </w:r>
      <w:r>
        <w:rPr>
          <w:rFonts w:hint="eastAsia" w:hAnsi="宋体"/>
          <w:color w:val="323232"/>
          <w:sz w:val="24"/>
          <w:szCs w:val="24"/>
          <w:lang w:eastAsia="zh-CN"/>
        </w:rPr>
        <w:t>研究生导师</w:t>
      </w:r>
      <w:r>
        <w:rPr>
          <w:rFonts w:hint="eastAsia" w:hAnsi="宋体"/>
          <w:color w:val="323232"/>
          <w:sz w:val="24"/>
          <w:szCs w:val="24"/>
        </w:rPr>
        <w:t>为主，组织三人以上校内同行专家召开开题报告会，研究生进行公开报告，通过者方可进入课题研究阶段，未通过者必须对选题报告不足之处进行修改，一个月后进行第二次报告。报告通过后交学院存档。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4</w:t>
      </w:r>
      <w:r>
        <w:rPr>
          <w:rFonts w:hint="eastAsia" w:hAnsi="宋体"/>
          <w:color w:val="323232"/>
          <w:sz w:val="24"/>
          <w:szCs w:val="24"/>
        </w:rPr>
        <w:t>.中期检查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int="eastAsia" w:hAnsi="宋体"/>
          <w:color w:val="323232"/>
          <w:sz w:val="24"/>
          <w:szCs w:val="24"/>
        </w:rPr>
        <w:t>在论文题目确定后，用于论文工作的时间不少于一年。</w:t>
      </w:r>
      <w:r>
        <w:rPr>
          <w:rFonts w:hAnsi="宋体"/>
          <w:color w:val="323232"/>
          <w:sz w:val="24"/>
          <w:szCs w:val="24"/>
        </w:rPr>
        <w:t>硕士研究生学位论文的中期检查应于研究生入学后的第五学期</w:t>
      </w:r>
      <w:r>
        <w:rPr>
          <w:rFonts w:hint="eastAsia" w:hAnsi="宋体"/>
          <w:color w:val="323232"/>
          <w:sz w:val="24"/>
          <w:szCs w:val="24"/>
        </w:rPr>
        <w:t>开学前</w:t>
      </w:r>
      <w:r>
        <w:rPr>
          <w:rFonts w:hAnsi="宋体"/>
          <w:color w:val="323232"/>
          <w:sz w:val="24"/>
          <w:szCs w:val="24"/>
        </w:rPr>
        <w:t>完成。中期检查的主要内容为：论文工作是否按开题报告预定的内容及进度进行；已完成的研究内容及结果；目前存在的或预期可能会出现的问题；论文按时完成的可能性等。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hAnsi="宋体"/>
          <w:color w:val="323232"/>
          <w:sz w:val="24"/>
          <w:szCs w:val="24"/>
        </w:rPr>
      </w:pPr>
      <w:r>
        <w:rPr>
          <w:rFonts w:hAnsi="宋体"/>
          <w:color w:val="323232"/>
          <w:sz w:val="24"/>
          <w:szCs w:val="24"/>
        </w:rPr>
        <w:t>5</w:t>
      </w:r>
      <w:r>
        <w:rPr>
          <w:rFonts w:hint="eastAsia" w:hAnsi="宋体"/>
          <w:color w:val="323232"/>
          <w:sz w:val="24"/>
          <w:szCs w:val="24"/>
        </w:rPr>
        <w:t>.论文答辩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z w:val="24"/>
          <w:szCs w:val="24"/>
        </w:rPr>
      </w:pPr>
      <w:r>
        <w:rPr>
          <w:color w:val="323232"/>
          <w:sz w:val="24"/>
          <w:szCs w:val="24"/>
        </w:rPr>
        <w:t>学位论文答辩一般在第六学期进行，学院按规定程序组织论文答辩。研究生在申请答辩前，</w:t>
      </w:r>
      <w:r>
        <w:rPr>
          <w:sz w:val="24"/>
          <w:szCs w:val="24"/>
        </w:rPr>
        <w:t>除按规定修满课程学习学分外，</w:t>
      </w:r>
      <w:r>
        <w:rPr>
          <w:rFonts w:hint="eastAsia"/>
          <w:sz w:val="24"/>
          <w:szCs w:val="24"/>
        </w:rPr>
        <w:t>科研成果</w:t>
      </w:r>
      <w:r>
        <w:rPr>
          <w:sz w:val="24"/>
          <w:szCs w:val="24"/>
        </w:rPr>
        <w:t>还须</w:t>
      </w:r>
      <w:r>
        <w:rPr>
          <w:rFonts w:hint="eastAsia"/>
          <w:sz w:val="24"/>
          <w:szCs w:val="24"/>
        </w:rPr>
        <w:t>符合学校申请硕士学位相关规定的要求</w:t>
      </w:r>
      <w:r>
        <w:rPr>
          <w:sz w:val="24"/>
          <w:szCs w:val="24"/>
        </w:rPr>
        <w:t>。</w:t>
      </w:r>
    </w:p>
    <w:p>
      <w:pPr>
        <w:widowControl/>
        <w:spacing w:line="320" w:lineRule="exact"/>
        <w:jc w:val="left"/>
        <w:rPr>
          <w:rFonts w:hint="eastAsia" w:ascii="宋体" w:hAnsi="宋体" w:cs="宋体"/>
          <w:b/>
          <w:sz w:val="21"/>
          <w:szCs w:val="21"/>
        </w:rPr>
      </w:pPr>
      <w:r>
        <w:rPr>
          <w:sz w:val="28"/>
          <w:szCs w:val="28"/>
        </w:rPr>
        <w:br w:type="page"/>
      </w:r>
      <w:r>
        <w:rPr>
          <w:rFonts w:hint="eastAsia"/>
          <w:color w:val="323232"/>
          <w:sz w:val="21"/>
          <w:szCs w:val="21"/>
        </w:rPr>
        <w:t>附表：课程设置</w:t>
      </w:r>
    </w:p>
    <w:tbl>
      <w:tblPr>
        <w:tblStyle w:val="2"/>
        <w:tblW w:w="8420" w:type="dxa"/>
        <w:tblInd w:w="0" w:type="dxa"/>
        <w:tblLayout w:type="fixed"/>
        <w:tblCellMar>
          <w:top w:w="0" w:type="dxa"/>
          <w:left w:w="108" w:type="dxa"/>
          <w:bottom w:w="0" w:type="dxa"/>
          <w:right w:w="108" w:type="dxa"/>
        </w:tblCellMar>
      </w:tblPr>
      <w:tblGrid>
        <w:gridCol w:w="379"/>
        <w:gridCol w:w="378"/>
        <w:gridCol w:w="2880"/>
        <w:gridCol w:w="641"/>
        <w:gridCol w:w="644"/>
        <w:gridCol w:w="645"/>
        <w:gridCol w:w="1448"/>
        <w:gridCol w:w="636"/>
        <w:gridCol w:w="370"/>
        <w:gridCol w:w="399"/>
      </w:tblGrid>
      <w:tr>
        <w:tblPrEx>
          <w:tblLayout w:type="fixed"/>
          <w:tblCellMar>
            <w:top w:w="0" w:type="dxa"/>
            <w:left w:w="108" w:type="dxa"/>
            <w:bottom w:w="0" w:type="dxa"/>
            <w:right w:w="108" w:type="dxa"/>
          </w:tblCellMar>
        </w:tblPrEx>
        <w:trPr>
          <w:trHeight w:val="613" w:hRule="atLeast"/>
        </w:trPr>
        <w:tc>
          <w:tcPr>
            <w:tcW w:w="75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sz w:val="20"/>
                <w:szCs w:val="20"/>
              </w:rPr>
            </w:pPr>
            <w:r>
              <w:rPr>
                <w:rFonts w:hint="eastAsia" w:ascii="宋体" w:hAnsi="宋体" w:cs="宋体"/>
                <w:b/>
                <w:sz w:val="20"/>
                <w:szCs w:val="20"/>
              </w:rPr>
              <w:t>类别</w:t>
            </w:r>
          </w:p>
        </w:tc>
        <w:tc>
          <w:tcPr>
            <w:tcW w:w="28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sz w:val="20"/>
                <w:szCs w:val="20"/>
              </w:rPr>
            </w:pPr>
            <w:r>
              <w:rPr>
                <w:rFonts w:hint="eastAsia" w:ascii="宋体" w:hAnsi="宋体" w:cs="宋体"/>
                <w:b/>
                <w:sz w:val="20"/>
                <w:szCs w:val="20"/>
              </w:rPr>
              <w:t>课程名称</w:t>
            </w:r>
          </w:p>
        </w:tc>
        <w:tc>
          <w:tcPr>
            <w:tcW w:w="64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sz w:val="20"/>
                <w:szCs w:val="20"/>
              </w:rPr>
            </w:pPr>
            <w:r>
              <w:rPr>
                <w:rFonts w:hint="eastAsia" w:ascii="宋体" w:hAnsi="宋体" w:cs="宋体"/>
                <w:b/>
                <w:sz w:val="20"/>
                <w:szCs w:val="20"/>
              </w:rPr>
              <w:t>学时</w:t>
            </w:r>
          </w:p>
        </w:tc>
        <w:tc>
          <w:tcPr>
            <w:tcW w:w="64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sz w:val="20"/>
                <w:szCs w:val="20"/>
              </w:rPr>
            </w:pPr>
            <w:r>
              <w:rPr>
                <w:rFonts w:hint="eastAsia" w:ascii="宋体" w:hAnsi="宋体" w:cs="宋体"/>
                <w:b/>
                <w:sz w:val="20"/>
                <w:szCs w:val="20"/>
              </w:rPr>
              <w:t>学分</w:t>
            </w:r>
          </w:p>
        </w:tc>
        <w:tc>
          <w:tcPr>
            <w:tcW w:w="64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b/>
                <w:sz w:val="20"/>
                <w:szCs w:val="20"/>
              </w:rPr>
            </w:pPr>
            <w:r>
              <w:rPr>
                <w:rFonts w:hint="eastAsia" w:ascii="宋体" w:hAnsi="宋体" w:cs="宋体"/>
                <w:b/>
                <w:sz w:val="20"/>
                <w:szCs w:val="20"/>
              </w:rPr>
              <w:t>开课</w:t>
            </w:r>
          </w:p>
          <w:p>
            <w:pPr>
              <w:widowControl/>
              <w:spacing w:line="280" w:lineRule="exact"/>
              <w:jc w:val="center"/>
              <w:rPr>
                <w:rFonts w:hint="eastAsia" w:ascii="宋体" w:hAnsi="宋体" w:cs="宋体"/>
                <w:b/>
                <w:sz w:val="20"/>
                <w:szCs w:val="20"/>
              </w:rPr>
            </w:pPr>
            <w:r>
              <w:rPr>
                <w:rFonts w:hint="eastAsia" w:ascii="宋体" w:hAnsi="宋体" w:cs="宋体"/>
                <w:b/>
                <w:sz w:val="20"/>
                <w:szCs w:val="20"/>
              </w:rPr>
              <w:t>学期</w:t>
            </w:r>
          </w:p>
        </w:tc>
        <w:tc>
          <w:tcPr>
            <w:tcW w:w="144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sz w:val="20"/>
                <w:szCs w:val="20"/>
              </w:rPr>
            </w:pPr>
            <w:r>
              <w:rPr>
                <w:rFonts w:hint="eastAsia" w:ascii="宋体" w:hAnsi="宋体" w:cs="宋体"/>
                <w:b/>
                <w:sz w:val="20"/>
                <w:szCs w:val="20"/>
              </w:rPr>
              <w:t>开课学院</w:t>
            </w:r>
          </w:p>
        </w:tc>
        <w:tc>
          <w:tcPr>
            <w:tcW w:w="63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b/>
                <w:sz w:val="20"/>
                <w:szCs w:val="20"/>
              </w:rPr>
            </w:pPr>
            <w:r>
              <w:rPr>
                <w:rFonts w:hint="eastAsia" w:ascii="宋体" w:hAnsi="宋体" w:cs="宋体"/>
                <w:b/>
                <w:sz w:val="20"/>
                <w:szCs w:val="20"/>
              </w:rPr>
              <w:t>考核</w:t>
            </w:r>
          </w:p>
          <w:p>
            <w:pPr>
              <w:widowControl/>
              <w:spacing w:line="280" w:lineRule="exact"/>
              <w:jc w:val="center"/>
              <w:rPr>
                <w:rFonts w:hint="eastAsia" w:ascii="宋体" w:hAnsi="宋体" w:cs="宋体"/>
                <w:b/>
                <w:sz w:val="20"/>
                <w:szCs w:val="20"/>
              </w:rPr>
            </w:pPr>
            <w:r>
              <w:rPr>
                <w:rFonts w:hint="eastAsia" w:ascii="宋体" w:hAnsi="宋体" w:cs="宋体"/>
                <w:b/>
                <w:sz w:val="20"/>
                <w:szCs w:val="20"/>
              </w:rPr>
              <w:t>方式</w:t>
            </w:r>
          </w:p>
        </w:tc>
        <w:tc>
          <w:tcPr>
            <w:tcW w:w="76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sz w:val="20"/>
                <w:szCs w:val="20"/>
              </w:rPr>
            </w:pPr>
            <w:r>
              <w:rPr>
                <w:rFonts w:hint="eastAsia" w:ascii="宋体" w:hAnsi="宋体" w:cs="宋体"/>
                <w:b/>
                <w:sz w:val="20"/>
                <w:szCs w:val="20"/>
              </w:rPr>
              <w:t>备注</w:t>
            </w:r>
          </w:p>
        </w:tc>
      </w:tr>
      <w:tr>
        <w:tblPrEx>
          <w:tblLayout w:type="fixed"/>
          <w:tblCellMar>
            <w:top w:w="0" w:type="dxa"/>
            <w:left w:w="108" w:type="dxa"/>
            <w:bottom w:w="0" w:type="dxa"/>
            <w:right w:w="108" w:type="dxa"/>
          </w:tblCellMar>
        </w:tblPrEx>
        <w:trPr>
          <w:trHeight w:val="329" w:hRule="exact"/>
        </w:trPr>
        <w:tc>
          <w:tcPr>
            <w:tcW w:w="379" w:type="dxa"/>
            <w:vMerge w:val="restart"/>
            <w:tcBorders>
              <w:top w:val="nil"/>
              <w:left w:val="single" w:color="auto" w:sz="4" w:space="0"/>
              <w:right w:val="single" w:color="auto" w:sz="4" w:space="0"/>
            </w:tcBorders>
            <w:vAlign w:val="center"/>
          </w:tcPr>
          <w:p>
            <w:pPr>
              <w:widowControl/>
              <w:jc w:val="center"/>
              <w:rPr>
                <w:rFonts w:hint="eastAsia" w:ascii="宋体" w:hAnsi="宋体" w:cs="宋体"/>
                <w:sz w:val="20"/>
                <w:szCs w:val="20"/>
              </w:rPr>
            </w:pPr>
            <w:r>
              <w:rPr>
                <w:rFonts w:hint="eastAsia" w:ascii="宋体" w:hAnsi="宋体" w:cs="宋体"/>
                <w:sz w:val="20"/>
                <w:szCs w:val="20"/>
              </w:rPr>
              <w:t>学位课</w:t>
            </w:r>
          </w:p>
        </w:tc>
        <w:tc>
          <w:tcPr>
            <w:tcW w:w="378"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eastAsia="宋体" w:cs="宋体"/>
                <w:sz w:val="18"/>
                <w:szCs w:val="18"/>
              </w:rPr>
            </w:pPr>
            <w:r>
              <w:rPr>
                <w:rFonts w:hint="eastAsia" w:ascii="宋体" w:hAnsi="宋体" w:eastAsia="宋体" w:cs="宋体"/>
                <w:sz w:val="18"/>
                <w:szCs w:val="18"/>
              </w:rPr>
              <w:t>公共基础</w:t>
            </w:r>
            <w:r>
              <w:rPr>
                <w:rFonts w:hint="eastAsia" w:ascii="宋体" w:hAnsi="宋体" w:eastAsia="宋体" w:cs="宋体"/>
                <w:sz w:val="18"/>
                <w:szCs w:val="18"/>
                <w:lang w:eastAsia="zh-CN"/>
              </w:rPr>
              <w:t>课</w:t>
            </w: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自然辩证法概论</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18</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马克思主义学院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sz w:val="20"/>
                <w:szCs w:val="20"/>
              </w:rPr>
            </w:pPr>
            <w:r>
              <w:rPr>
                <w:rFonts w:hint="eastAsia" w:ascii="宋体" w:hAnsi="宋体" w:cs="宋体"/>
                <w:sz w:val="20"/>
                <w:szCs w:val="20"/>
              </w:rPr>
              <w:t>6学分</w:t>
            </w:r>
          </w:p>
        </w:tc>
      </w:tr>
      <w:tr>
        <w:tblPrEx>
          <w:tblLayout w:type="fixed"/>
          <w:tblCellMar>
            <w:top w:w="0" w:type="dxa"/>
            <w:left w:w="108" w:type="dxa"/>
            <w:bottom w:w="0" w:type="dxa"/>
            <w:right w:w="108" w:type="dxa"/>
          </w:tblCellMar>
        </w:tblPrEx>
        <w:trPr>
          <w:trHeight w:val="329"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中国特色社会主义理论与实践研究</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马克思主义学院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391"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研究生英语</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54</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外国语学院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329"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eastAsia="宋体" w:cs="宋体"/>
                <w:sz w:val="18"/>
                <w:szCs w:val="18"/>
              </w:rPr>
            </w:pPr>
            <w:r>
              <w:rPr>
                <w:rFonts w:hint="eastAsia" w:ascii="宋体" w:hAnsi="宋体" w:eastAsia="宋体" w:cs="宋体"/>
                <w:sz w:val="18"/>
                <w:szCs w:val="18"/>
              </w:rPr>
              <w:t>专业基础</w:t>
            </w:r>
            <w:r>
              <w:rPr>
                <w:rFonts w:hint="eastAsia" w:ascii="宋体" w:hAnsi="宋体" w:eastAsia="宋体" w:cs="宋体"/>
                <w:sz w:val="18"/>
                <w:szCs w:val="18"/>
                <w:lang w:eastAsia="zh-CN"/>
              </w:rPr>
              <w:t>课</w:t>
            </w: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抽象代数学基础</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54</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sz w:val="20"/>
                <w:szCs w:val="20"/>
              </w:rPr>
            </w:pPr>
            <w:r>
              <w:rPr>
                <w:rFonts w:hint="eastAsia" w:ascii="宋体" w:hAnsi="宋体" w:cs="宋体"/>
                <w:sz w:val="20"/>
                <w:szCs w:val="20"/>
              </w:rPr>
              <w:t>9学分</w:t>
            </w:r>
          </w:p>
        </w:tc>
      </w:tr>
      <w:tr>
        <w:tblPrEx>
          <w:tblLayout w:type="fixed"/>
          <w:tblCellMar>
            <w:top w:w="0" w:type="dxa"/>
            <w:left w:w="108" w:type="dxa"/>
            <w:bottom w:w="0" w:type="dxa"/>
            <w:right w:w="108" w:type="dxa"/>
          </w:tblCellMar>
        </w:tblPrEx>
        <w:trPr>
          <w:trHeight w:val="329"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现代分析基础</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54</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376"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泛函分析</w:t>
            </w:r>
          </w:p>
        </w:tc>
        <w:tc>
          <w:tcPr>
            <w:tcW w:w="641"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54</w:t>
            </w:r>
          </w:p>
        </w:tc>
        <w:tc>
          <w:tcPr>
            <w:tcW w:w="644"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645"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769"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restart"/>
            <w:tcBorders>
              <w:top w:val="nil"/>
              <w:left w:val="single" w:color="auto" w:sz="4" w:space="0"/>
              <w:right w:val="single" w:color="auto" w:sz="4" w:space="0"/>
            </w:tcBorders>
            <w:vAlign w:val="center"/>
          </w:tcPr>
          <w:p>
            <w:pPr>
              <w:widowControl/>
              <w:spacing w:line="240" w:lineRule="exact"/>
              <w:jc w:val="center"/>
              <w:rPr>
                <w:rFonts w:hint="eastAsia" w:ascii="宋体" w:hAnsi="宋体" w:eastAsia="宋体" w:cs="宋体"/>
                <w:sz w:val="18"/>
                <w:szCs w:val="18"/>
              </w:rPr>
            </w:pPr>
            <w:r>
              <w:rPr>
                <w:rFonts w:hint="eastAsia" w:ascii="宋体" w:hAnsi="宋体" w:eastAsia="宋体" w:cs="宋体"/>
                <w:sz w:val="18"/>
                <w:szCs w:val="18"/>
              </w:rPr>
              <w:t>专业课</w:t>
            </w: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调和分析</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restart"/>
            <w:tcBorders>
              <w:top w:val="nil"/>
              <w:left w:val="single" w:color="auto" w:sz="4" w:space="0"/>
              <w:right w:val="single" w:color="auto" w:sz="4" w:space="0"/>
            </w:tcBorders>
            <w:vAlign w:val="center"/>
          </w:tcPr>
          <w:p>
            <w:pPr>
              <w:widowControl/>
              <w:jc w:val="center"/>
              <w:rPr>
                <w:rFonts w:hint="eastAsia" w:ascii="宋体" w:hAnsi="宋体" w:cs="宋体"/>
                <w:sz w:val="20"/>
                <w:szCs w:val="20"/>
                <w:lang w:eastAsia="zh-CN"/>
              </w:rPr>
            </w:pPr>
            <w:r>
              <w:rPr>
                <w:rFonts w:hint="eastAsia" w:ascii="宋体" w:hAnsi="宋体" w:cs="宋体"/>
                <w:sz w:val="20"/>
                <w:szCs w:val="20"/>
                <w:lang w:eastAsia="zh-CN"/>
              </w:rPr>
              <w:t>任</w:t>
            </w:r>
          </w:p>
          <w:p>
            <w:pPr>
              <w:widowControl/>
              <w:jc w:val="center"/>
              <w:rPr>
                <w:rFonts w:hint="eastAsia" w:ascii="宋体" w:hAnsi="宋体" w:cs="宋体"/>
                <w:sz w:val="20"/>
                <w:szCs w:val="20"/>
                <w:lang w:val="en-US" w:eastAsia="zh-CN"/>
              </w:rPr>
            </w:pPr>
            <w:r>
              <w:rPr>
                <w:rFonts w:hint="eastAsia" w:ascii="宋体" w:hAnsi="宋体" w:cs="宋体"/>
                <w:sz w:val="20"/>
                <w:szCs w:val="20"/>
                <w:lang w:eastAsia="zh-CN"/>
              </w:rPr>
              <w:t>选</w:t>
            </w:r>
            <w:r>
              <w:rPr>
                <w:rFonts w:hint="eastAsia" w:ascii="宋体" w:hAnsi="宋体" w:cs="宋体"/>
                <w:sz w:val="20"/>
                <w:szCs w:val="20"/>
                <w:lang w:val="en-US" w:eastAsia="zh-CN"/>
              </w:rPr>
              <w:t>2门</w:t>
            </w:r>
          </w:p>
          <w:p>
            <w:pPr>
              <w:widowControl/>
              <w:jc w:val="center"/>
              <w:rPr>
                <w:rFonts w:hint="eastAsia" w:ascii="宋体" w:hAnsi="宋体" w:cs="宋体"/>
                <w:sz w:val="20"/>
                <w:szCs w:val="20"/>
                <w:lang w:val="en-US" w:eastAsia="zh-CN"/>
              </w:rPr>
            </w:pPr>
          </w:p>
          <w:p>
            <w:pPr>
              <w:widowControl/>
              <w:jc w:val="center"/>
              <w:rPr>
                <w:rFonts w:hint="eastAsia" w:ascii="宋体" w:hAnsi="宋体" w:cs="宋体"/>
                <w:sz w:val="20"/>
                <w:szCs w:val="20"/>
                <w:lang w:val="en-US" w:eastAsia="zh-CN"/>
              </w:rPr>
            </w:pPr>
            <w:r>
              <w:rPr>
                <w:rFonts w:hint="eastAsia" w:ascii="宋体" w:hAnsi="宋体" w:cs="宋体"/>
                <w:sz w:val="20"/>
                <w:szCs w:val="20"/>
                <w:lang w:val="en-US" w:eastAsia="zh-CN"/>
              </w:rPr>
              <w:t>必修</w:t>
            </w:r>
          </w:p>
        </w:tc>
        <w:tc>
          <w:tcPr>
            <w:tcW w:w="399" w:type="dxa"/>
            <w:vMerge w:val="restart"/>
            <w:tcBorders>
              <w:top w:val="nil"/>
              <w:left w:val="single" w:color="auto" w:sz="4" w:space="0"/>
              <w:right w:val="single" w:color="auto" w:sz="4" w:space="0"/>
            </w:tcBorders>
            <w:vAlign w:val="center"/>
          </w:tcPr>
          <w:p>
            <w:pPr>
              <w:widowControl/>
              <w:jc w:val="center"/>
              <w:rPr>
                <w:rFonts w:hint="eastAsia" w:ascii="宋体" w:hAnsi="宋体" w:cs="宋体"/>
                <w:sz w:val="20"/>
                <w:szCs w:val="20"/>
              </w:rPr>
            </w:pPr>
            <w:r>
              <w:rPr>
                <w:rFonts w:hint="eastAsia" w:ascii="宋体" w:hAnsi="宋体" w:cs="宋体"/>
                <w:sz w:val="20"/>
                <w:szCs w:val="20"/>
              </w:rPr>
              <w:t>不少于6学分</w:t>
            </w:r>
            <w:r>
              <w:rPr>
                <w:rFonts w:hint="eastAsia" w:ascii="宋体" w:hAnsi="宋体" w:cs="宋体"/>
                <w:sz w:val="20"/>
                <w:szCs w:val="20"/>
              </w:rPr>
              <w:br w:type="textWrapping"/>
            </w: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偏微分方程</w:t>
            </w:r>
            <w:r>
              <w:rPr>
                <w:rFonts w:hint="eastAsia" w:ascii="宋体" w:hAnsi="宋体" w:eastAsia="宋体" w:cs="宋体"/>
                <w:sz w:val="18"/>
                <w:szCs w:val="18"/>
                <w:lang w:eastAsia="zh-CN"/>
              </w:rPr>
              <w:t>基本理论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数值分析</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随机过程</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color w:val="auto"/>
                <w:sz w:val="18"/>
                <w:szCs w:val="18"/>
                <w:lang w:val="en-US" w:eastAsia="zh-CN"/>
              </w:rPr>
              <w:t>高等数理统计</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现代控制理论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群论导引</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组合论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矩阵论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45</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US" w:eastAsia="zh-CN"/>
              </w:rPr>
              <w:t>.5</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专业外语</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考试</w:t>
            </w:r>
          </w:p>
        </w:tc>
        <w:tc>
          <w:tcPr>
            <w:tcW w:w="370" w:type="dxa"/>
            <w:tcBorders>
              <w:left w:val="single" w:color="auto" w:sz="4" w:space="0"/>
              <w:bottom w:val="single" w:color="auto" w:sz="4" w:space="0"/>
              <w:right w:val="single" w:color="auto" w:sz="4" w:space="0"/>
            </w:tcBorders>
            <w:vAlign w:val="center"/>
          </w:tcPr>
          <w:p>
            <w:pPr>
              <w:widowControl/>
              <w:jc w:val="left"/>
              <w:rPr>
                <w:rFonts w:hint="eastAsia" w:ascii="宋体" w:hAnsi="宋体" w:cs="宋体"/>
                <w:sz w:val="20"/>
                <w:szCs w:val="20"/>
              </w:rPr>
            </w:pPr>
          </w:p>
        </w:tc>
        <w:tc>
          <w:tcPr>
            <w:tcW w:w="39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restart"/>
            <w:tcBorders>
              <w:top w:val="single" w:color="auto" w:sz="4" w:space="0"/>
              <w:left w:val="single" w:color="auto" w:sz="4" w:space="0"/>
              <w:right w:val="single" w:color="auto" w:sz="4" w:space="0"/>
            </w:tcBorders>
            <w:textDirection w:val="tbRlV"/>
            <w:vAlign w:val="center"/>
          </w:tcPr>
          <w:p>
            <w:pPr>
              <w:widowControl/>
              <w:ind w:left="113" w:right="113"/>
              <w:jc w:val="center"/>
              <w:rPr>
                <w:rFonts w:hint="eastAsia" w:ascii="宋体" w:hAnsi="宋体" w:cs="宋体"/>
                <w:sz w:val="20"/>
                <w:szCs w:val="20"/>
              </w:rPr>
            </w:pPr>
            <w:r>
              <w:rPr>
                <w:rFonts w:hint="eastAsia" w:ascii="宋体" w:hAnsi="宋体" w:cs="宋体"/>
                <w:sz w:val="20"/>
                <w:szCs w:val="20"/>
              </w:rPr>
              <w:t>非学位课</w:t>
            </w:r>
          </w:p>
        </w:tc>
        <w:tc>
          <w:tcPr>
            <w:tcW w:w="378" w:type="dxa"/>
            <w:vMerge w:val="restart"/>
            <w:tcBorders>
              <w:top w:val="single" w:color="auto" w:sz="4" w:space="0"/>
              <w:left w:val="single" w:color="auto" w:sz="4" w:space="0"/>
              <w:right w:val="single" w:color="auto" w:sz="4" w:space="0"/>
            </w:tcBorders>
            <w:textDirection w:val="tbRlV"/>
            <w:vAlign w:val="center"/>
          </w:tcPr>
          <w:p>
            <w:pPr>
              <w:widowControl/>
              <w:ind w:left="113" w:right="113"/>
              <w:jc w:val="center"/>
              <w:rPr>
                <w:rFonts w:hint="eastAsia" w:ascii="宋体" w:hAnsi="宋体" w:eastAsia="宋体" w:cs="宋体"/>
                <w:sz w:val="18"/>
                <w:szCs w:val="18"/>
              </w:rPr>
            </w:pPr>
            <w:r>
              <w:rPr>
                <w:rFonts w:hint="eastAsia" w:ascii="宋体" w:hAnsi="宋体" w:eastAsia="宋体" w:cs="宋体"/>
                <w:sz w:val="18"/>
                <w:szCs w:val="18"/>
              </w:rPr>
              <w:t>选修课</w:t>
            </w: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学术英语</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外国语学院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cs="宋体"/>
                <w:sz w:val="20"/>
                <w:szCs w:val="20"/>
              </w:rPr>
            </w:pPr>
            <w:r>
              <w:rPr>
                <w:rFonts w:hint="eastAsia" w:ascii="宋体" w:hAnsi="宋体" w:cs="宋体"/>
                <w:sz w:val="20"/>
                <w:szCs w:val="20"/>
              </w:rPr>
              <w:t>不少于</w:t>
            </w:r>
            <w:r>
              <w:rPr>
                <w:rFonts w:hint="eastAsia" w:ascii="宋体" w:hAnsi="宋体" w:cs="宋体"/>
                <w:sz w:val="20"/>
                <w:szCs w:val="20"/>
                <w:lang w:val="en-US" w:eastAsia="zh-CN"/>
              </w:rPr>
              <w:t>9</w:t>
            </w:r>
            <w:r>
              <w:rPr>
                <w:rFonts w:hint="eastAsia" w:ascii="宋体" w:hAnsi="宋体" w:cs="宋体"/>
                <w:sz w:val="20"/>
                <w:szCs w:val="20"/>
              </w:rPr>
              <w:t>学分</w:t>
            </w: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textDirection w:val="tbRlV"/>
            <w:vAlign w:val="center"/>
          </w:tcPr>
          <w:p>
            <w:pPr>
              <w:widowControl/>
              <w:ind w:left="113" w:right="113"/>
              <w:jc w:val="center"/>
              <w:rPr>
                <w:rFonts w:hint="eastAsia" w:ascii="宋体" w:hAnsi="宋体" w:cs="宋体"/>
                <w:sz w:val="20"/>
                <w:szCs w:val="20"/>
              </w:rPr>
            </w:pPr>
          </w:p>
        </w:tc>
        <w:tc>
          <w:tcPr>
            <w:tcW w:w="378" w:type="dxa"/>
            <w:vMerge w:val="continue"/>
            <w:tcBorders>
              <w:left w:val="single" w:color="auto" w:sz="4" w:space="0"/>
              <w:right w:val="single" w:color="auto" w:sz="4" w:space="0"/>
            </w:tcBorders>
            <w:textDirection w:val="tbRlV"/>
            <w:vAlign w:val="center"/>
          </w:tcPr>
          <w:p>
            <w:pPr>
              <w:widowControl/>
              <w:ind w:left="113" w:right="113"/>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奇异积分理论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函数空间及其应用</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微分流形</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非线性发展</w:t>
            </w:r>
            <w:r>
              <w:rPr>
                <w:rFonts w:hint="eastAsia" w:ascii="宋体" w:hAnsi="宋体" w:eastAsia="宋体" w:cs="宋体"/>
                <w:sz w:val="18"/>
                <w:szCs w:val="18"/>
              </w:rPr>
              <w:t>方程</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bCs/>
                <w:sz w:val="18"/>
                <w:szCs w:val="18"/>
              </w:rPr>
              <w:t>Sobolev空间</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偏</w:t>
            </w:r>
            <w:r>
              <w:rPr>
                <w:rFonts w:hint="eastAsia" w:ascii="宋体" w:hAnsi="宋体" w:eastAsia="宋体" w:cs="宋体"/>
                <w:sz w:val="18"/>
                <w:szCs w:val="18"/>
              </w:rPr>
              <w:t>微分方程的数值求解</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有限元方法与多尺度计算</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边界元法</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无网格方法</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现代优化算法</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运筹学</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非线性控制理论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cente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稳定性理论及其应用</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left w:val="single" w:color="auto" w:sz="4" w:space="0"/>
              <w:bottom w:val="nil"/>
              <w:right w:val="single" w:color="auto" w:sz="4" w:space="0"/>
            </w:tcBorders>
            <w:vAlign w:val="center"/>
          </w:tcPr>
          <w:p>
            <w:pPr>
              <w:widowControl/>
              <w:jc w:val="center"/>
              <w:rPr>
                <w:rFonts w:hint="eastAsia"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高等概率论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灰色系统理论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多元统计分析</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回归模型</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代数表示论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pacing w:val="-20"/>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群的表示和特征</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pacing w:val="-20"/>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组合设计理论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图论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lang w:eastAsia="zh-CN"/>
              </w:rPr>
              <w:t>互补问题</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生物数学</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eastAsia="zh-CN"/>
              </w:rPr>
              <w:t>黎曼几何</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编码理论</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文献选讲</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36</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2</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3</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379"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cs="宋体"/>
                <w:sz w:val="20"/>
                <w:szCs w:val="20"/>
              </w:rPr>
            </w:pPr>
          </w:p>
        </w:tc>
        <w:tc>
          <w:tcPr>
            <w:tcW w:w="37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科技信息资源检索与研究</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18</w:t>
            </w: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图书馆</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sz w:val="20"/>
                <w:szCs w:val="20"/>
              </w:rPr>
            </w:pPr>
          </w:p>
        </w:tc>
      </w:tr>
      <w:tr>
        <w:tblPrEx>
          <w:tblLayout w:type="fixed"/>
          <w:tblCellMar>
            <w:top w:w="0" w:type="dxa"/>
            <w:left w:w="108" w:type="dxa"/>
            <w:bottom w:w="0" w:type="dxa"/>
            <w:right w:w="108" w:type="dxa"/>
          </w:tblCellMar>
        </w:tblPrEx>
        <w:trPr>
          <w:trHeight w:val="264" w:hRule="exact"/>
        </w:trPr>
        <w:tc>
          <w:tcPr>
            <w:tcW w:w="757" w:type="dxa"/>
            <w:gridSpan w:val="2"/>
            <w:vMerge w:val="restart"/>
            <w:tcBorders>
              <w:top w:val="single" w:color="auto" w:sz="4" w:space="0"/>
              <w:left w:val="single" w:color="auto" w:sz="4" w:space="0"/>
              <w:right w:val="single" w:color="auto" w:sz="4" w:space="0"/>
            </w:tcBorders>
            <w:vAlign w:val="center"/>
          </w:tcPr>
          <w:p>
            <w:pPr>
              <w:widowControl/>
              <w:spacing w:line="200" w:lineRule="exact"/>
              <w:jc w:val="center"/>
              <w:rPr>
                <w:rFonts w:hint="eastAsia" w:ascii="宋体" w:hAnsi="宋体" w:eastAsia="宋体" w:cs="宋体"/>
                <w:sz w:val="18"/>
                <w:szCs w:val="18"/>
              </w:rPr>
            </w:pPr>
            <w:r>
              <w:rPr>
                <w:rFonts w:hint="eastAsia" w:ascii="宋体" w:hAnsi="宋体" w:eastAsia="宋体" w:cs="宋体"/>
                <w:sz w:val="18"/>
                <w:szCs w:val="18"/>
              </w:rPr>
              <w:t>必修</w:t>
            </w:r>
          </w:p>
          <w:p>
            <w:pPr>
              <w:widowControl/>
              <w:spacing w:line="200" w:lineRule="exact"/>
              <w:jc w:val="center"/>
              <w:rPr>
                <w:rFonts w:hint="eastAsia" w:ascii="宋体" w:hAnsi="宋体" w:eastAsia="宋体" w:cs="宋体"/>
                <w:sz w:val="18"/>
                <w:szCs w:val="18"/>
              </w:rPr>
            </w:pPr>
            <w:r>
              <w:rPr>
                <w:rFonts w:hint="eastAsia" w:ascii="宋体" w:hAnsi="宋体" w:eastAsia="宋体" w:cs="宋体"/>
                <w:sz w:val="18"/>
                <w:szCs w:val="18"/>
              </w:rPr>
              <w:t>环节</w:t>
            </w: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学术研讨与学术报告</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snapToGrid w:val="0"/>
              <w:jc w:val="center"/>
              <w:rPr>
                <w:rFonts w:ascii="宋体" w:hAnsi="宋体" w:cs="宋体"/>
                <w:sz w:val="20"/>
                <w:szCs w:val="20"/>
              </w:rPr>
            </w:pPr>
            <w:r>
              <w:rPr>
                <w:rFonts w:hint="eastAsia" w:ascii="宋体" w:hAnsi="宋体" w:cs="宋体"/>
                <w:sz w:val="20"/>
                <w:szCs w:val="20"/>
              </w:rPr>
              <w:t>2学分</w:t>
            </w:r>
          </w:p>
        </w:tc>
      </w:tr>
      <w:tr>
        <w:tblPrEx>
          <w:tblLayout w:type="fixed"/>
          <w:tblCellMar>
            <w:top w:w="0" w:type="dxa"/>
            <w:left w:w="108" w:type="dxa"/>
            <w:bottom w:w="0" w:type="dxa"/>
            <w:right w:w="108" w:type="dxa"/>
          </w:tblCellMar>
        </w:tblPrEx>
        <w:trPr>
          <w:trHeight w:val="302" w:hRule="exact"/>
        </w:trPr>
        <w:tc>
          <w:tcPr>
            <w:tcW w:w="757" w:type="dxa"/>
            <w:gridSpan w:val="2"/>
            <w:vMerge w:val="continue"/>
            <w:tcBorders>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sz w:val="18"/>
                <w:szCs w:val="18"/>
              </w:rPr>
            </w:pPr>
          </w:p>
        </w:tc>
        <w:tc>
          <w:tcPr>
            <w:tcW w:w="28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教学实践与专业实践</w:t>
            </w:r>
          </w:p>
        </w:tc>
        <w:tc>
          <w:tcPr>
            <w:tcW w:w="6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p>
        </w:tc>
        <w:tc>
          <w:tcPr>
            <w:tcW w:w="6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6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18"/>
                <w:szCs w:val="18"/>
              </w:rPr>
            </w:pPr>
            <w:r>
              <w:rPr>
                <w:rFonts w:hint="eastAsia" w:ascii="宋体" w:hAnsi="宋体" w:eastAsia="宋体" w:cs="宋体"/>
                <w:sz w:val="18"/>
                <w:szCs w:val="18"/>
              </w:rPr>
              <w:t>理学院</w:t>
            </w:r>
          </w:p>
        </w:tc>
        <w:tc>
          <w:tcPr>
            <w:tcW w:w="6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考查</w:t>
            </w:r>
          </w:p>
        </w:tc>
        <w:tc>
          <w:tcPr>
            <w:tcW w:w="769"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C417D"/>
    <w:rsid w:val="03692CF7"/>
    <w:rsid w:val="1112333A"/>
    <w:rsid w:val="19AA2D68"/>
    <w:rsid w:val="265C2DE3"/>
    <w:rsid w:val="30BD241E"/>
    <w:rsid w:val="35063B08"/>
    <w:rsid w:val="3F680C3C"/>
    <w:rsid w:val="3FF036C5"/>
    <w:rsid w:val="4A9C2C4E"/>
    <w:rsid w:val="4F3C417D"/>
    <w:rsid w:val="56266F4B"/>
    <w:rsid w:val="59702554"/>
    <w:rsid w:val="6155410A"/>
    <w:rsid w:val="6B5802B3"/>
    <w:rsid w:val="73516757"/>
    <w:rsid w:val="79045774"/>
    <w:rsid w:val="7BDB1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2018-04-25T02:00:00Z</dcterms:created>
  <dc:creator>琳·白</dc:creator>
  <cp:lastModifiedBy>Dell</cp:lastModifiedBy>
  <cp:lastPrinted>2018-05-23T01:52:00Z</cp:lastPrinted>
  <dcterms:modified xsi:type="dcterms:W3CDTF">2019-03-07T05:37:35Z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y fmtid="{D5CDD505-2E9C-101B-9397-08002B2CF9AE}" pid="3" name="KSORubyTemplateID" linkTarget="0">
    <vt:lpwstr>6</vt:lpwstr>
  </property>
</Properties>
</file>